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8315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8315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RTW INVESTMENTS, LP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7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Kailera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KLRA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04/20/2026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 10TH AVENUE, FLOOR 7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0" w:gutter="0" w:footer="0" w:header="0"/>
          <w:type w:val="continuous"/>
        </w:sectPr>
      </w:pP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4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4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04/20/2026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10,276,820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10,276,820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04/20/2026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500,000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10,776,820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gridSpan w:val="14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8,250,000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Preferred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04/20/2026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4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8,250,000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5"/>
                <w:szCs w:val="5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2,026,820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Preferred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04/20/2026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4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2,026,820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5"/>
                <w:szCs w:val="5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RTW INVESTMENTS, LP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 10TH AVENUE, FLOOR 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5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WONG RODERICK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RTW INVESTMENTS, LP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 10TH AVENUE, FLOOR 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-5151755</wp:posOffset>
            </wp:positionV>
            <wp:extent cx="28575" cy="19786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7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 w:right="420" w:hanging="2"/>
        <w:spacing w:after="0" w:line="24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Series A Preferred Stock and Series B Preferred Stock automatically converted into shares of Common Stock immediately prior to the closing of the Issuer's initial public offering for no additional consideration on a 1-for-1 basis and had no expiration date.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Held by certain affiliated funds managed by RTW Investments, LP ("RTW"). Roderick Wong, M.D. serves as the Managing Partner and Chief Investment Officer of RTW. The Reporting Persons disclaim beneficial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0" w:gutter="0" w:footer="0" w:header="0"/>
          <w:type w:val="continuous"/>
        </w:sectPr>
      </w:pPr>
    </w:p>
    <w:bookmarkStart w:id="1" w:name="page2"/>
    <w:bookmarkEnd w:id="1"/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ownership of the reported securities for purposes of Section 16 under the Securities Exchange Act of 1934, as amended, except to the extent of their pecuniary interest therein.</w:t>
      </w:r>
    </w:p>
    <w:p>
      <w:pPr>
        <w:sectPr>
          <w:pgSz w:w="11900" w:h="16838" w:orient="portrait"/>
          <w:cols w:equalWidth="0" w:num="1">
            <w:col w:w="9962"/>
          </w:cols>
          <w:pgMar w:left="498" w:top="127" w:right="1440" w:bottom="1440" w:gutter="0" w:footer="0" w:header="0"/>
        </w:sectPr>
      </w:pP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Roderick Wong, for RTW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-5080</wp:posOffset>
            </wp:positionV>
            <wp:extent cx="1192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Investments, LP, By: Roderick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-11430</wp:posOffset>
            </wp:positionV>
            <wp:extent cx="12642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Wong, M.D., Managing Partner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-11430</wp:posOffset>
            </wp:positionV>
            <wp:extent cx="13074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Roderick Wong, 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-5080</wp:posOffset>
            </wp:positionV>
            <wp:extent cx="97218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Roderick Wong, M.D.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-11430</wp:posOffset>
            </wp:positionV>
            <wp:extent cx="91757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-5080</wp:posOffset>
            </wp:positionV>
            <wp:extent cx="47053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-5080</wp:posOffset>
            </wp:positionV>
            <wp:extent cx="470535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2" w:space="140"/>
            <w:col w:w="1199"/>
          </w:cols>
          <w:pgMar w:left="498" w:top="127" w:right="1440" w:bottom="1440" w:gutter="0" w:footer="0" w:header="0"/>
          <w:type w:val="continuous"/>
        </w:sect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2" w:right="2739" w:hanging="2"/>
        <w:spacing w:after="0" w:line="355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2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2"/>
      </w:cols>
      <w:pgMar w:left="498" w:top="127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22" Type="http://schemas.openxmlformats.org/officeDocument/2006/relationships/image" Target="media/image12.png"/><Relationship Id="rId23" Type="http://schemas.openxmlformats.org/officeDocument/2006/relationships/image" Target="media/image13.png"/><Relationship Id="rId13" Type="http://schemas.openxmlformats.org/officeDocument/2006/relationships/hyperlink" Target="http://www.sec.gov/cgi-bin/browse-edgar?action=getcompany&amp;CIK=0001493215" TargetMode="External"/><Relationship Id="rId14" Type="http://schemas.openxmlformats.org/officeDocument/2006/relationships/hyperlink" Target="http://www.sec.gov/cgi-bin/browse-edgar?action=getcompany&amp;CIK=0002096997" TargetMode="External"/><Relationship Id="rId15" Type="http://schemas.openxmlformats.org/officeDocument/2006/relationships/hyperlink" Target="http://www.sec.gov/cgi-bin/browse-edgar?action=getcompany&amp;CIK=00014932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2026-04-22T15:27:11Z</dcterms:created>
  <dcterms:modified xsi:type="dcterms:W3CDTF">2026-04-22T15:27:11Z</dcterms:modified>
</cp:coreProperties>
</file>