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Kailera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$0.00001 par value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RTW Investments, 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10,776,820.00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10,776,820.00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10,776,820.00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8.3 %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Roderick Wong</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10,776,820.00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10,776,820.00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10,776,820.00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8.3 %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44"/>
        <w:gridCol w:w="8906"/>
        <w:gridCol w:w="155"/>
      </w:tblGrid>
      <w:tr>
        <w:trPr/>
        <w:tc>
          <w:tcPr>
            <w:tcW w:w="1144" w:type="dxa"/>
            <w:tcBorders/>
            <w:vAlign w:val="center"/>
          </w:tcPr>
          <w:p>
            <w:pPr>
              <w:pStyle w:val="TableContents"/>
              <w:bidi w:val="0"/>
              <w:spacing w:before="0" w:after="283"/>
              <w:jc w:val="left"/>
              <w:rPr/>
            </w:pPr>
            <w:r>
              <w:rPr/>
              <w:t>Item 1.</w:t>
            </w:r>
          </w:p>
        </w:tc>
        <w:tc>
          <w:tcPr>
            <w:tcW w:w="890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(a)</w:t>
            </w:r>
          </w:p>
        </w:tc>
        <w:tc>
          <w:tcPr>
            <w:tcW w:w="8906" w:type="dxa"/>
            <w:tcBorders/>
            <w:vAlign w:val="center"/>
          </w:tcPr>
          <w:p>
            <w:pPr>
              <w:pStyle w:val="TableContents"/>
              <w:bidi w:val="0"/>
              <w:jc w:val="left"/>
              <w:rPr/>
            </w:pPr>
            <w:r>
              <w:rPr/>
              <w:t xml:space="preserve">Name of issuer: </w:t>
            </w:r>
          </w:p>
          <w:p>
            <w:pPr>
              <w:pStyle w:val="TableContents"/>
              <w:bidi w:val="0"/>
              <w:spacing w:before="0" w:after="0"/>
              <w:jc w:val="left"/>
              <w:rPr/>
            </w:pPr>
            <w:r>
              <w:rPr/>
              <w:t>Kailera Therapeutics, Inc.</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(b)</w:t>
            </w:r>
          </w:p>
        </w:tc>
        <w:tc>
          <w:tcPr>
            <w:tcW w:w="8906"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180 Third Avenue, 4th Floor, Waltham, MA, 02451.</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Item 2.</w:t>
            </w:r>
          </w:p>
        </w:tc>
        <w:tc>
          <w:tcPr>
            <w:tcW w:w="890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(a)</w:t>
            </w:r>
          </w:p>
        </w:tc>
        <w:tc>
          <w:tcPr>
            <w:tcW w:w="8906"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filed by: (i) RTW Investments, LP ("RTW Investments"), a Delaware limited partnership and the investment adviser to certain funds (the "RTW Funds"), with respect to shares of Common Stock, par value $0.00001 per share (the "Shares") of Kailera Therapeutics, Inc. (the "Company") directly held by the RTW Funds; and (ii) Roderick Wong, M.D. ("Dr. Wong"), the Managing Partner and Chief Investment Officer of RTW Investments, with respect to the Shares directly held by the RTW Funds. The foregoing persons are hereinafter sometimes collectively referred to as the "Reporting Persons." The filing of this statement should not be construed as an admission that any of the foregoing persons or any Reporting Person is, for the purposes of Section 13 of the Securities Exchange Act of 1934, as amended, the beneficial owner of the Shares reported herein.</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(b)</w:t>
            </w:r>
          </w:p>
        </w:tc>
        <w:tc>
          <w:tcPr>
            <w:tcW w:w="8906"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business office of each of the Reporting Persons is 40 10th Avenue, Floor 7, New York, New York 10014.</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(c)</w:t>
            </w:r>
          </w:p>
        </w:tc>
        <w:tc>
          <w:tcPr>
            <w:tcW w:w="8906" w:type="dxa"/>
            <w:tcBorders/>
            <w:vAlign w:val="center"/>
          </w:tcPr>
          <w:p>
            <w:pPr>
              <w:pStyle w:val="TableContents"/>
              <w:bidi w:val="0"/>
              <w:jc w:val="left"/>
              <w:rPr/>
            </w:pPr>
            <w:r>
              <w:rPr/>
              <w:t xml:space="preserve">Citizenship: </w:t>
            </w:r>
          </w:p>
          <w:p>
            <w:pPr>
              <w:pStyle w:val="TableContents"/>
              <w:bidi w:val="0"/>
              <w:spacing w:before="0" w:after="0"/>
              <w:jc w:val="left"/>
              <w:rPr/>
            </w:pPr>
            <w:r>
              <w:rPr/>
              <w:t>RTW Investments is a Delaware limited partnership. Dr. Wong is a citizen of the United States.</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(d)</w:t>
            </w:r>
          </w:p>
        </w:tc>
        <w:tc>
          <w:tcPr>
            <w:tcW w:w="8906"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$0.00001 par value</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(e)</w:t>
            </w:r>
          </w:p>
        </w:tc>
        <w:tc>
          <w:tcPr>
            <w:tcW w:w="8906"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Item 3.</w:t>
            </w:r>
          </w:p>
        </w:tc>
        <w:tc>
          <w:tcPr>
            <w:tcW w:w="8906"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(a)</w:t>
            </w:r>
          </w:p>
        </w:tc>
        <w:tc>
          <w:tcPr>
            <w:tcW w:w="8906"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(b)</w:t>
            </w:r>
          </w:p>
        </w:tc>
        <w:tc>
          <w:tcPr>
            <w:tcW w:w="8906"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(c)</w:t>
            </w:r>
          </w:p>
        </w:tc>
        <w:tc>
          <w:tcPr>
            <w:tcW w:w="8906"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(d)</w:t>
            </w:r>
          </w:p>
        </w:tc>
        <w:tc>
          <w:tcPr>
            <w:tcW w:w="8906"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(e)</w:t>
            </w:r>
          </w:p>
        </w:tc>
        <w:tc>
          <w:tcPr>
            <w:tcW w:w="8906"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(f)</w:t>
            </w:r>
          </w:p>
        </w:tc>
        <w:tc>
          <w:tcPr>
            <w:tcW w:w="8906"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(g)</w:t>
            </w:r>
          </w:p>
        </w:tc>
        <w:tc>
          <w:tcPr>
            <w:tcW w:w="8906"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(h)</w:t>
            </w:r>
          </w:p>
        </w:tc>
        <w:tc>
          <w:tcPr>
            <w:tcW w:w="8906"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(i)</w:t>
            </w:r>
          </w:p>
        </w:tc>
        <w:tc>
          <w:tcPr>
            <w:tcW w:w="8906"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(j)</w:t>
            </w:r>
          </w:p>
        </w:tc>
        <w:tc>
          <w:tcPr>
            <w:tcW w:w="8906"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(k)</w:t>
            </w:r>
          </w:p>
        </w:tc>
        <w:tc>
          <w:tcPr>
            <w:tcW w:w="8906"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 </w:t>
            </w:r>
          </w:p>
        </w:tc>
        <w:tc>
          <w:tcPr>
            <w:tcW w:w="9061" w:type="dxa"/>
            <w:gridSpan w:val="2"/>
            <w:tcBorders/>
            <w:vAlign w:val="center"/>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Item 4.</w:t>
            </w:r>
          </w:p>
        </w:tc>
        <w:tc>
          <w:tcPr>
            <w:tcW w:w="8906"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(a)</w:t>
            </w:r>
          </w:p>
        </w:tc>
        <w:tc>
          <w:tcPr>
            <w:tcW w:w="8906"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information required by Item 4(a) is set forth in Rows 5 - 9 of the cover page for each of the Reporting Persons and is incorporated herein by reference. The percentages set forth in Row 11 of the cover pages are calculated based upon 129,565,608 Shares outstanding as of May 20, 2026 as reported in the Company's Quarterly Report on Form 10-Q filed with the Securities and Exchange Commission on May 26, 2026.</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(b)</w:t>
            </w:r>
          </w:p>
        </w:tc>
        <w:tc>
          <w:tcPr>
            <w:tcW w:w="8906"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RTW Investments: 8.3% Dr. Wong: 8.3%  %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(c)</w:t>
            </w:r>
          </w:p>
        </w:tc>
        <w:tc>
          <w:tcPr>
            <w:tcW w:w="8906"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 </w:t>
            </w:r>
          </w:p>
        </w:tc>
        <w:tc>
          <w:tcPr>
            <w:tcW w:w="8906"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RTW Investments: 0 Dr. Wong: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 </w:t>
            </w:r>
          </w:p>
        </w:tc>
        <w:tc>
          <w:tcPr>
            <w:tcW w:w="8906"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RTW Investments: 10,776,820 Shares Dr. Wong: 10,776,820 Shares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 </w:t>
            </w:r>
          </w:p>
        </w:tc>
        <w:tc>
          <w:tcPr>
            <w:tcW w:w="8906"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RTW Investments: 0 Dr. Wong: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 </w:t>
            </w:r>
          </w:p>
        </w:tc>
        <w:tc>
          <w:tcPr>
            <w:tcW w:w="8906"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RTW Investments: 10,776,820 Shares Dr. Wong: 10,776,820 Shares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Item 5.</w:t>
            </w:r>
          </w:p>
        </w:tc>
        <w:tc>
          <w:tcPr>
            <w:tcW w:w="8906"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 </w:t>
            </w:r>
          </w:p>
        </w:tc>
        <w:tc>
          <w:tcPr>
            <w:tcW w:w="8906"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Item 6.</w:t>
            </w:r>
          </w:p>
        </w:tc>
        <w:tc>
          <w:tcPr>
            <w:tcW w:w="8906"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 </w:t>
            </w:r>
          </w:p>
        </w:tc>
        <w:tc>
          <w:tcPr>
            <w:tcW w:w="8906"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 xml:space="preserve">See Item 2. The RTW Funds have the right to receive or the power to direct the receipt of dividends from, or the proceeds from the sale of, the Shares reported herein.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Item 7.</w:t>
            </w:r>
          </w:p>
        </w:tc>
        <w:tc>
          <w:tcPr>
            <w:tcW w:w="8906"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 </w:t>
            </w:r>
          </w:p>
        </w:tc>
        <w:tc>
          <w:tcPr>
            <w:tcW w:w="890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Item 8.</w:t>
            </w:r>
          </w:p>
        </w:tc>
        <w:tc>
          <w:tcPr>
            <w:tcW w:w="8906"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 </w:t>
            </w:r>
          </w:p>
        </w:tc>
        <w:tc>
          <w:tcPr>
            <w:tcW w:w="890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Item 9.</w:t>
            </w:r>
          </w:p>
        </w:tc>
        <w:tc>
          <w:tcPr>
            <w:tcW w:w="8906"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 </w:t>
            </w:r>
          </w:p>
        </w:tc>
        <w:tc>
          <w:tcPr>
            <w:tcW w:w="890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812" w:type="dxa"/>
        <w:jc w:val="left"/>
        <w:tblInd w:w="0" w:type="dxa"/>
        <w:tblLayout w:type="fixed"/>
        <w:tblCellMar>
          <w:top w:w="28" w:type="dxa"/>
          <w:left w:w="28" w:type="dxa"/>
          <w:bottom w:w="28" w:type="dxa"/>
          <w:right w:w="28" w:type="dxa"/>
        </w:tblCellMar>
      </w:tblPr>
      <w:tblGrid>
        <w:gridCol w:w="2406"/>
        <w:gridCol w:w="2406"/>
      </w:tblGrid>
      <w:tr>
        <w:trPr/>
        <w:tc>
          <w:tcPr>
            <w:tcW w:w="2406" w:type="dxa"/>
            <w:tcBorders/>
            <w:vAlign w:val="center"/>
          </w:tcPr>
          <w:p>
            <w:pPr>
              <w:pStyle w:val="TableContents"/>
              <w:bidi w:val="0"/>
              <w:spacing w:before="0" w:after="0"/>
              <w:jc w:val="left"/>
              <w:rPr/>
            </w:pPr>
            <w:r>
              <w:rPr/>
              <w:t> </w:t>
            </w:r>
          </w:p>
          <w:tbl>
            <w:tblPr>
              <w:tblW w:w="2296" w:type="dxa"/>
              <w:jc w:val="left"/>
              <w:tblInd w:w="0" w:type="dxa"/>
              <w:tblLayout w:type="fixed"/>
              <w:tblCellMar>
                <w:top w:w="28" w:type="dxa"/>
                <w:left w:w="28" w:type="dxa"/>
                <w:bottom w:w="28" w:type="dxa"/>
                <w:right w:w="28" w:type="dxa"/>
              </w:tblCellMar>
            </w:tblPr>
            <w:tblGrid>
              <w:gridCol w:w="2296"/>
            </w:tblGrid>
            <w:tr>
              <w:trPr/>
              <w:tc>
                <w:tcPr>
                  <w:tcW w:w="2296" w:type="dxa"/>
                  <w:tcBorders/>
                  <w:vAlign w:val="center"/>
                </w:tcPr>
                <w:p>
                  <w:pPr>
                    <w:pStyle w:val="TableContents"/>
                    <w:bidi w:val="0"/>
                    <w:spacing w:before="0" w:after="0"/>
                    <w:jc w:val="left"/>
                    <w:rPr/>
                  </w:pPr>
                  <w:r>
                    <w:rPr/>
                    <w:t>RTW Investments, LP</w:t>
                  </w:r>
                </w:p>
              </w:tc>
            </w:tr>
          </w:tbl>
          <w:p>
            <w:pPr>
              <w:pStyle w:val="TableContents"/>
              <w:bidi w:val="0"/>
              <w:spacing w:before="0" w:after="283"/>
              <w:jc w:val="left"/>
              <w:rPr/>
            </w:pPr>
            <w:r>
              <w:rPr/>
            </w:r>
          </w:p>
        </w:tc>
        <w:tc>
          <w:tcPr>
            <w:tcW w:w="240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2"/>
        <w:gridCol w:w="4373"/>
      </w:tblGrid>
      <w:tr>
        <w:trPr/>
        <w:tc>
          <w:tcPr>
            <w:tcW w:w="583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Roderick Wong, M.D.</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Roderick Wong, M.D., Managing Partner</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73" w:type="dxa"/>
            <w:tcBorders/>
            <w:vAlign w:val="center"/>
          </w:tcPr>
          <w:p>
            <w:pPr>
              <w:pStyle w:val="TableContents"/>
              <w:bidi w:val="0"/>
              <w:spacing w:before="0" w:after="283"/>
              <w:jc w:val="left"/>
              <w:rPr>
                <w:sz w:val="4"/>
                <w:szCs w:val="4"/>
              </w:rPr>
            </w:pPr>
            <w:r>
              <w:rPr>
                <w:sz w:val="4"/>
                <w:szCs w:val="4"/>
              </w:rPr>
            </w:r>
          </w:p>
        </w:tc>
      </w:tr>
    </w:tbl>
    <w:tbl>
      <w:tblPr>
        <w:tblW w:w="3584" w:type="dxa"/>
        <w:jc w:val="left"/>
        <w:tblInd w:w="0" w:type="dxa"/>
        <w:tblLayout w:type="fixed"/>
        <w:tblCellMar>
          <w:top w:w="28" w:type="dxa"/>
          <w:left w:w="28" w:type="dxa"/>
          <w:bottom w:w="28" w:type="dxa"/>
          <w:right w:w="28" w:type="dxa"/>
        </w:tblCellMar>
      </w:tblPr>
      <w:tblGrid>
        <w:gridCol w:w="1792"/>
        <w:gridCol w:w="1792"/>
      </w:tblGrid>
      <w:tr>
        <w:trPr/>
        <w:tc>
          <w:tcPr>
            <w:tcW w:w="1792" w:type="dxa"/>
            <w:tcBorders/>
            <w:vAlign w:val="center"/>
          </w:tcPr>
          <w:p>
            <w:pPr>
              <w:pStyle w:val="TableContents"/>
              <w:bidi w:val="0"/>
              <w:spacing w:before="0" w:after="0"/>
              <w:jc w:val="left"/>
              <w:rPr/>
            </w:pPr>
            <w:r>
              <w:rPr/>
              <w:t> </w:t>
            </w:r>
          </w:p>
          <w:tbl>
            <w:tblPr>
              <w:tblW w:w="1681" w:type="dxa"/>
              <w:jc w:val="left"/>
              <w:tblInd w:w="0" w:type="dxa"/>
              <w:tblLayout w:type="fixed"/>
              <w:tblCellMar>
                <w:top w:w="28" w:type="dxa"/>
                <w:left w:w="28" w:type="dxa"/>
                <w:bottom w:w="28" w:type="dxa"/>
                <w:right w:w="28" w:type="dxa"/>
              </w:tblCellMar>
            </w:tblPr>
            <w:tblGrid>
              <w:gridCol w:w="1681"/>
            </w:tblGrid>
            <w:tr>
              <w:trPr/>
              <w:tc>
                <w:tcPr>
                  <w:tcW w:w="1681" w:type="dxa"/>
                  <w:tcBorders/>
                  <w:vAlign w:val="center"/>
                </w:tcPr>
                <w:p>
                  <w:pPr>
                    <w:pStyle w:val="TableContents"/>
                    <w:bidi w:val="0"/>
                    <w:spacing w:before="0" w:after="0"/>
                    <w:jc w:val="left"/>
                    <w:rPr/>
                  </w:pPr>
                  <w:r>
                    <w:rPr/>
                    <w:t>Roderick Wong</w:t>
                  </w:r>
                </w:p>
              </w:tc>
            </w:tr>
          </w:tbl>
          <w:p>
            <w:pPr>
              <w:pStyle w:val="TableContents"/>
              <w:bidi w:val="0"/>
              <w:spacing w:before="0" w:after="283"/>
              <w:jc w:val="left"/>
              <w:rPr/>
            </w:pPr>
            <w:r>
              <w:rPr/>
            </w:r>
          </w:p>
        </w:tc>
        <w:tc>
          <w:tcPr>
            <w:tcW w:w="179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4"/>
        <w:gridCol w:w="4371"/>
      </w:tblGrid>
      <w:tr>
        <w:trPr/>
        <w:tc>
          <w:tcPr>
            <w:tcW w:w="583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Roderick Wong, M.D.</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Roderick Wong, M.D.</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71" w:type="dxa"/>
            <w:tcBorders/>
            <w:vAlign w:val="center"/>
          </w:tcPr>
          <w:p>
            <w:pPr>
              <w:pStyle w:val="TableContents"/>
              <w:bidi w:val="0"/>
              <w:spacing w:before="0" w:after="283"/>
              <w:jc w:val="left"/>
              <w:rPr>
                <w:sz w:val="4"/>
                <w:szCs w:val="4"/>
              </w:rPr>
            </w:pPr>
            <w:r>
              <w:rPr>
                <w:sz w:val="4"/>
                <w:szCs w:val="4"/>
              </w:rPr>
            </w:r>
          </w:p>
        </w:tc>
      </w:tr>
    </w:tbl>
    <w:tbl>
      <w:tblPr>
        <w:tblW w:w="3631" w:type="dxa"/>
        <w:jc w:val="left"/>
        <w:tblInd w:w="0" w:type="dxa"/>
        <w:tblLayout w:type="fixed"/>
        <w:tblCellMar>
          <w:top w:w="28" w:type="dxa"/>
          <w:left w:w="28" w:type="dxa"/>
          <w:bottom w:w="28" w:type="dxa"/>
          <w:right w:w="28" w:type="dxa"/>
        </w:tblCellMar>
      </w:tblPr>
      <w:tblGrid>
        <w:gridCol w:w="3631"/>
      </w:tblGrid>
      <w:tr>
        <w:trPr/>
        <w:tc>
          <w:tcPr>
            <w:tcW w:w="3631" w:type="dxa"/>
            <w:tcBorders/>
            <w:vAlign w:val="center"/>
          </w:tcPr>
          <w:p>
            <w:pPr>
              <w:pStyle w:val="TableContents"/>
              <w:bidi w:val="0"/>
              <w:spacing w:before="0" w:after="283"/>
              <w:jc w:val="center"/>
              <w:rPr>
                <w:b/>
              </w:rPr>
            </w:pPr>
            <w:r>
              <w:rPr>
                <w:b/>
              </w:rPr>
              <w:t xml:space="preserve">Exhibit Information </w:t>
            </w:r>
          </w:p>
        </w:tc>
      </w:tr>
      <w:tr>
        <w:trPr/>
        <w:tc>
          <w:tcPr>
            <w:tcW w:w="3631" w:type="dxa"/>
            <w:tcBorders/>
            <w:vAlign w:val="center"/>
          </w:tcPr>
          <w:p>
            <w:pPr>
              <w:pStyle w:val="TableContents"/>
              <w:bidi w:val="0"/>
              <w:spacing w:before="0" w:after="283"/>
              <w:jc w:val="left"/>
              <w:rPr/>
            </w:pPr>
            <w:r>
              <w:rPr/>
              <w:t xml:space="preserve">Exhibit 99.1 Joint Filing Agreement </w:t>
            </w:r>
          </w:p>
        </w:tc>
      </w:tr>
    </w:tbl>
    <w:p>
      <w:pPr>
        <w:pStyle w:val="TextBody"/>
        <w:pBdr/>
        <w:bidi w:val="0"/>
        <w:spacing w:before="0" w:after="255"/>
        <w:jc w:val="center"/>
        <w:rPr>
          <w:b/>
          <w:sz w:val="22"/>
        </w:rPr>
      </w:pPr>
      <w:bookmarkStart w:id="20" w:name="ex-99-08142026_120808.htm"/>
      <w:bookmarkStart w:id="21" w:name="ksex9908142026_120808"/>
      <w:bookmarkEnd w:id="20"/>
      <w:bookmarkEnd w:id="21"/>
      <w:r>
        <w:rPr>
          <w:b/>
          <w:sz w:val="22"/>
        </w:rPr>
        <w:t>EXHIBIT 99.1</w:t>
      </w:r>
      <w:r>
        <w:br w:type="page"/>
      </w:r>
    </w:p>
    <w:p>
      <w:pPr>
        <w:pStyle w:val="TextBody"/>
        <w:pBdr/>
        <w:bidi w:val="0"/>
        <w:spacing w:before="0" w:after="0"/>
        <w:ind w:left="0" w:right="0" w:hanging="0"/>
        <w:jc w:val="center"/>
        <w:rPr>
          <w:b/>
          <w:sz w:val="22"/>
        </w:rPr>
      </w:pPr>
      <w:r>
        <w:rPr>
          <w:b/>
          <w:sz w:val="22"/>
        </w:rPr>
        <w:t>JOINT FILING AGREEMENT</w:t>
      </w:r>
    </w:p>
    <w:p>
      <w:pPr>
        <w:pStyle w:val="TextBody"/>
        <w:pBdr/>
        <w:bidi w:val="0"/>
        <w:spacing w:before="0" w:after="255"/>
        <w:jc w:val="center"/>
        <w:rPr>
          <w:b/>
          <w:sz w:val="22"/>
        </w:rPr>
      </w:pPr>
      <w:r>
        <w:rPr>
          <w:b/>
          <w:sz w:val="22"/>
        </w:rPr>
        <w:t xml:space="preserve">PURSUANT TO RULE 13(d)-1(k) </w:t>
      </w:r>
    </w:p>
    <w:p>
      <w:pPr>
        <w:pStyle w:val="TextBody"/>
        <w:bidi w:val="0"/>
        <w:spacing w:before="0" w:after="0"/>
        <w:ind w:left="0" w:right="0" w:hanging="0"/>
        <w:jc w:val="left"/>
        <w:rPr>
          <w:sz w:val="22"/>
        </w:rPr>
      </w:pPr>
      <w:r>
        <w:rPr>
          <w:sz w:val="22"/>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him or it contained herein and therein, but shall not be responsible for the completeness and accuracy of the information concerning the others, except to the extent that he or it knows or has reason to believe that such information is inaccurate.</w:t>
      </w:r>
    </w:p>
    <w:p>
      <w:pPr>
        <w:pStyle w:val="TextBody"/>
        <w:bidi w:val="0"/>
        <w:spacing w:before="0" w:after="0"/>
        <w:ind w:left="0" w:right="0" w:hanging="0"/>
        <w:jc w:val="left"/>
        <w:rPr/>
      </w:pPr>
      <w:r>
        <w:rPr/>
      </w:r>
    </w:p>
    <w:p>
      <w:pPr>
        <w:pStyle w:val="TextBody"/>
        <w:bidi w:val="0"/>
        <w:spacing w:before="0" w:after="255"/>
        <w:jc w:val="left"/>
        <w:rPr>
          <w:sz w:val="22"/>
        </w:rPr>
      </w:pPr>
      <w:r>
        <w:rPr>
          <w:sz w:val="22"/>
        </w:rPr>
        <w:t>Dated:  August 14, 2026</w:t>
      </w:r>
    </w:p>
    <w:p>
      <w:pPr>
        <w:pStyle w:val="TextBody"/>
        <w:bidi w:val="0"/>
        <w:spacing w:before="0" w:after="0"/>
        <w:ind w:left="0" w:right="0" w:hanging="0"/>
        <w:jc w:val="left"/>
        <w:rPr>
          <w:b/>
          <w:sz w:val="22"/>
        </w:rPr>
      </w:pPr>
      <w:r>
        <w:rPr>
          <w:b/>
          <w:sz w:val="22"/>
        </w:rPr>
        <w:t>RTW Investments, LP</w:t>
      </w:r>
    </w:p>
    <w:p>
      <w:pPr>
        <w:pStyle w:val="TextBody"/>
        <w:bidi w:val="0"/>
        <w:spacing w:before="0" w:after="0"/>
        <w:ind w:left="0" w:right="0" w:hanging="0"/>
        <w:jc w:val="left"/>
        <w:rPr/>
      </w:pPr>
      <w:r>
        <w:rPr/>
      </w:r>
    </w:p>
    <w:p>
      <w:pPr>
        <w:pStyle w:val="TextBody"/>
        <w:bidi w:val="0"/>
        <w:spacing w:before="0" w:after="0"/>
        <w:ind w:left="0" w:right="0" w:hanging="30"/>
        <w:jc w:val="left"/>
        <w:rPr>
          <w:sz w:val="22"/>
          <w:u w:val="single"/>
        </w:rPr>
      </w:pPr>
      <w:r>
        <w:rPr>
          <w:sz w:val="22"/>
          <w:u w:val="single"/>
        </w:rPr>
        <w:t>/s/ Roderick Wong, M.D.</w:t>
      </w:r>
      <w:r>
        <mc:AlternateContent>
          <mc:Choice Requires="wps">
            <w:drawing>
              <wp:anchor behindDoc="0" distT="0" distB="0" distL="0" distR="0" simplePos="0" locked="0" layoutInCell="1" allowOverlap="1" relativeHeight="22">
                <wp:simplePos x="0" y="0"/>
                <wp:positionH relativeFrom="column">
                  <wp:align>left</wp:align>
                </wp:positionH>
                <wp:positionV relativeFrom="line">
                  <wp:posOffset>635</wp:posOffset>
                </wp:positionV>
                <wp:extent cx="285750" cy="160655"/>
                <wp:effectExtent l="0" t="0" r="0" b="0"/>
                <wp:wrapSquare wrapText="right"/>
                <wp:docPr id="21" name="Frame1"/>
                <a:graphic xmlns:a="http://schemas.openxmlformats.org/drawingml/2006/main">
                  <a:graphicData uri="http://schemas.microsoft.com/office/word/2010/wordprocessingShape">
                    <wps:wsp>
                      <wps:cNvSpPr txBox="1"/>
                      <wps:spPr>
                        <a:xfrm>
                          <a:off x="0" y="0"/>
                          <a:ext cx="285750" cy="160655"/>
                        </a:xfrm>
                        <a:prstGeom prst="rect"/>
                        <a:solidFill>
                          <a:srgbClr val="FFFFFF"/>
                        </a:solidFill>
                      </wps:spPr>
                      <wps:txbx>
                        <w:txbxContent>
                          <w:p>
                            <w:pPr>
                              <w:pStyle w:val="TextBody"/>
                              <w:bidi w:val="0"/>
                              <w:spacing w:before="0" w:after="283"/>
                              <w:jc w:val="left"/>
                              <w:rPr>
                                <w:sz w:val="22"/>
                              </w:rPr>
                            </w:pPr>
                            <w:r>
                              <w:rPr>
                                <w:sz w:val="22"/>
                              </w:rPr>
                              <w:t>By:</w:t>
                            </w:r>
                          </w:p>
                        </w:txbxContent>
                      </wps:txbx>
                      <wps:bodyPr anchor="t" lIns="0" tIns="0" rIns="0" bIns="0">
                        <a:noAutofit/>
                      </wps:bodyPr>
                    </wps:wsp>
                  </a:graphicData>
                </a:graphic>
              </wp:anchor>
            </w:drawing>
          </mc:Choice>
          <mc:Fallback>
            <w:pict>
              <v:rect style="position:absolute;rotation:-0;width:2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By:</w:t>
                      </w:r>
                    </w:p>
                  </w:txbxContent>
                </v:textbox>
                <w10:wrap type="square" side="right"/>
              </v:rect>
            </w:pict>
          </mc:Fallback>
        </mc:AlternateContent>
      </w:r>
    </w:p>
    <w:p>
      <w:pPr>
        <w:pStyle w:val="TextBody"/>
        <w:bidi w:val="0"/>
        <w:spacing w:before="0" w:after="0"/>
        <w:ind w:left="0" w:right="0" w:firstLine="450"/>
        <w:jc w:val="left"/>
        <w:rPr>
          <w:sz w:val="22"/>
        </w:rPr>
      </w:pPr>
      <w:r>
        <w:rPr>
          <w:sz w:val="22"/>
        </w:rPr>
        <w:t>Name:  Roderick Wong, M.D.</w:t>
      </w:r>
    </w:p>
    <w:p>
      <w:pPr>
        <w:pStyle w:val="TextBody"/>
        <w:bidi w:val="0"/>
        <w:spacing w:before="0" w:after="0"/>
        <w:ind w:left="0" w:right="0" w:firstLine="450"/>
        <w:jc w:val="left"/>
        <w:rPr>
          <w:sz w:val="22"/>
        </w:rPr>
      </w:pPr>
      <w:r>
        <w:rPr>
          <w:sz w:val="22"/>
        </w:rPr>
        <w:t>Title:  Managing Partner</w:t>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bidi w:val="0"/>
        <w:spacing w:before="0" w:after="0"/>
        <w:ind w:left="0" w:right="0" w:hanging="0"/>
        <w:jc w:val="left"/>
        <w:rPr>
          <w:b/>
          <w:sz w:val="22"/>
        </w:rPr>
      </w:pPr>
      <w:r>
        <w:rPr>
          <w:b/>
          <w:sz w:val="22"/>
        </w:rPr>
        <w:t>Roderick Wong, M.D.</w:t>
      </w:r>
    </w:p>
    <w:p>
      <w:pPr>
        <w:pStyle w:val="TextBody"/>
        <w:bidi w:val="0"/>
        <w:spacing w:before="0" w:after="0"/>
        <w:ind w:left="0" w:right="0" w:hanging="0"/>
        <w:jc w:val="left"/>
        <w:rPr/>
      </w:pPr>
      <w:r>
        <w:rPr/>
      </w:r>
    </w:p>
    <w:p>
      <w:pPr>
        <w:pStyle w:val="TextBody"/>
        <w:bidi w:val="0"/>
        <w:spacing w:before="0" w:after="0"/>
        <w:ind w:left="0" w:right="0" w:hanging="0"/>
        <w:jc w:val="left"/>
        <w:rPr>
          <w:sz w:val="22"/>
          <w:u w:val="single"/>
        </w:rPr>
      </w:pPr>
      <w:r>
        <w:rPr>
          <w:sz w:val="22"/>
          <w:u w:val="single"/>
        </w:rPr>
        <w:t>/s/ Roderick Wong, M.D.</w:t>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bidi w:val="0"/>
        <w:spacing w:before="0" w:after="0"/>
        <w:ind w:left="0" w:right="0" w:hanging="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1404</Words>
  <Characters>7190</Characters>
  <CharactersWithSpaces>8557</CharactersWithSpaces>
  <Paragraphs>221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