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096997-20260630.htm"/>
      <w:bookmarkStart w:id="1" w:name="ksck0002096997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______________________ to ______________________</w:t>
      </w:r>
    </w:p>
    <w:p>
      <w:pPr>
        <w:pStyle w:val="TextBody"/>
        <w:bidi w:val="0"/>
        <w:spacing w:before="10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001-43233</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Kailera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536"/>
        <w:gridCol w:w="1246"/>
      </w:tblGrid>
      <w:tr>
        <w:trPr/>
        <w:tc>
          <w:tcPr>
            <w:tcW w:w="25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99-3088927</w:t>
            </w:r>
          </w:p>
        </w:tc>
      </w:tr>
      <w:tr>
        <w:trPr/>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3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180 Third Avenue, 4th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(781) 317-0290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KLRA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As of August 6, 2026, the registrant had 129,643,676</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 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that involve substantial risks and uncertainties. All statements contained in this Quarterly Report on Form 10-Q that do not relate to matters of historical fact should be considered forward-looking statements, including, but not limited to, statements regarding our future results of operations and financial position, business strategy, product candidate development, prospective products, product candidate approvals, research and development activities and costs, future revenue, timing and likelihood of success of our business plans, plans and objectives of management, future results and timing of clinical trials, treatment potential of our product candidates, and the market potential of our product candidates. In some cases, you can identify forward-looking statements by terms such as “anticipate,” “believe,” “contemplate,” “continue,” “could,” “estimate,” “expect,” “intend,” “may,” “plan,” “potential,” “predict,” “project,” “target,” “should,” “will,” or “would” or the negative of these terms or other similar expressions, although not all forward-looking statements contain these words.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our business, the industry in which we operate and financial trends that we believe may affect our business, financial condition, results of operations and prospects.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cost, timing, progress and results of nonclinical studies and clinical trials for our current and future product candidates and the reporting and interpretation of data from those studies and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our current product candidates and additional potential product candidates in our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and enroll a specified and sufficient number of eligible patients to participate and remain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or likelihood of regulatory filing and approvals or of alternative regulatory pathways for our product candidates and any related restrictions, limitations or warnings in the label of an approved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scaled third-party manufacturing prior to commercial launch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likelihood of our clinical trials demonstrating safety and efficacy of our product candidates and other positive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announcement of interim, topline and preliminary results from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our product candidates and to establish, manage, or expand our marketing, distribution, and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related to our competitors and our industry and market acceptance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the Hengrui License Agreement underlying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and enter into future license agreements and collaborations and the terms of such future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having accurately generated, collected, interpreted and reported data from certain nonclinical studies and clinical trials that were previously conducted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cost-effectiveness of our products, if approved, in relation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highly qualified management, clinical and scientific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 or a smaller reporting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 cash runway, estimates of our expenses, capital requirements and needs for additional financing.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forward-looking statements speak only as of the date of this Quarterly Report on Form 10-Q and are subject to a number of risks, uncertainties and assumptions described in the section titled “Risk Factors” and elsewhere in this Quarterly Report on Form 10-Q. The events and circumstances reflected in our forward-looking statements may not be achieved or occur and actual results could differ materially from those projected in the forward-looking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before making an investment decision, including those described in Part II, Item 1A. "Risk Factors" in this Quarterly Report on Form 10-Q.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with a limited operating history. We have incurred significant financial losses since our inception and anticipate that we will continue to incur significant financial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revenues to date and may never generate any revenue or become profitable or, if we achieve profitability, we may not be able to sustain 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substantial additional capital to finance our operations, and a failure to obtain this necessary capital when needed on acceptable terms, or at all, could force us to delay, limit, reduce or terminate our development programs or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heavily on the success of ribupatide injection and our other product candidates. If we are unable to successfully develop or commercialize ribupatide injection or any other product candidates, or experience significant delays in doing so, we may continue to incur significant financial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regulatory plan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development involves a lengthy and expensive process with an uncertain outcome, and the results of prior clinical trials and studies involving our product candidates are not necessarily predictive of our future results. Our product candidates may not show favorable results in nonclinical studies or clinical trials or receive regulatory approval on a timely basis,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find it difficult to enroll patients in our clinical trials. If we encounter difficulties or delays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Use of any of our current or future product candidates could be associated with side effects, adverse events or other properties or safety risks, which could delay or preclude regulatory approval, cause us to suspend or discontinue clinical trials, abandon any of our current or future product candidates, limit the commercial profile of an approved label or result in other significant negative consequences that could severely harm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and may in the future, conduct certain of our clinical trials for our product candidates outside of the United States. However, the FDA and foreign regulatory authorities may not accept data from such trials, which could materially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the risks associated with having a collaboration partner located in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our license agreement with, and the comprehensiveness of the intellectual property licensed from, Hengrui. Termination of the Hengrui License Agreement, and issues related to intellectual property we license from Hengrui, would have a material adverse effect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Hengrui having accurately generated, collected, interpreted and reported data from certain nonclinical studies and clinical trials that were previously conducted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our clinical trials and nonclinical studies. If these third parties do not successfully carry out their contractual duties, comply with applicable regulatory requirements, or meet expected deadlines, any of our current or future product candidates and our ability to seek or obtain regulatory approval for or commercialize any of our current or future product candidates may be delayed.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use of third parties, including Hengrui, to manufacture our product candidates, which may increase the risk that we will not have sufficient quantities of our product candidates or products or such quantities at an acceptable time and cost, which could delay, prevent or impair our development or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from entities that have made substantial investments into developing novel treatments for patients with obesity, including large pharmaceutical companies with approved therapies in our current indications,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biopharmaceutical, specialty pharmaceutical and biotechnology companies developing novel treatments and technology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 success of any of our current or future product candidates will depend upon the degree of market acceptance of such product candidates by physicians, patients, healthcare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our current or future licensors are unable to obtain, maintain, defend and enforce patent or other intellectual property protection for any of our current or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any of our current or future product candidates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Third-party claims of intellectual property infringement, misappropriation, or other violations against us or our collaborators could be expensive and time-consuming and may prevent or delay the development and commercialization of any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price of the shares of our common stock could be highly volatile, and purchasers of our common stock could incur substantial losses.</w:t>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risks described above should be read together with the text of the full risk factors discussed in the section entitled “Risk Factors” and the other information set forth in this Quarterly Report on Form 10-Q, including our condensed consolidated financial statements and the related notes, as well as in other documents that we file with the Securities and Exchange Commission, or the SEC. The risks summarized above or described in full elsewhere in this Quarterly Report on Form 10-Q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20"/>
        <w:gridCol w:w="8332"/>
        <w:gridCol w:w="146"/>
        <w:gridCol w:w="607"/>
      </w:tblGrid>
      <w:tr>
        <w:trPr/>
        <w:tc>
          <w:tcPr>
            <w:tcW w:w="1120" w:type="dxa"/>
            <w:tcBorders/>
            <w:vAlign w:val="center"/>
          </w:tcPr>
          <w:p>
            <w:pPr>
              <w:pStyle w:val="TableContents"/>
              <w:bidi w:val="0"/>
              <w:spacing w:before="0" w:after="283"/>
              <w:jc w:val="left"/>
              <w:rPr>
                <w:sz w:val="4"/>
                <w:szCs w:val="4"/>
              </w:rPr>
            </w:pPr>
            <w:r>
              <w:rPr>
                <w:sz w:val="4"/>
                <w:szCs w:val="4"/>
              </w:rPr>
            </w:r>
          </w:p>
        </w:tc>
        <w:tc>
          <w:tcPr>
            <w:tcW w:w="8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PART I.</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balance_sheets">
              <w:r>
                <w:rPr>
                  <w:rStyle w:val="InternetLink"/>
                  <w:rFonts w:ascii="Times New Roman" w:hAnsi="Times New Roman"/>
                  <w:color w:val="0000FF"/>
                  <w:sz w:val="20"/>
                  <w:u w:val="single"/>
                </w:rPr>
                <w:t>Condensed Consolidated Balance Sheets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_of_equity">
              <w:r>
                <w:rPr>
                  <w:rStyle w:val="InternetLink"/>
                  <w:rFonts w:ascii="Times New Roman" w:hAnsi="Times New Roman"/>
                  <w:color w:val="0000FF"/>
                  <w:sz w:val="20"/>
                  <w:u w:val="single"/>
                </w:rPr>
                <w:t>Condensed Consolidated Statements of Convertible Preferred Stock and Stockholders' Equity (Deficit)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4_controls_and_procedures">
              <w:r>
                <w:rPr>
                  <w:rStyle w:val="InternetLink"/>
                  <w:rFonts w:ascii="Times New Roman" w:hAnsi="Times New Roman"/>
                  <w:color w:val="0000FF"/>
                  <w:sz w:val="20"/>
                  <w:u w:val="single"/>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PART II.</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part_ii_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1_legal_proceedings">
              <w:r>
                <w:rPr>
                  <w:rStyle w:val="InternetLink"/>
                  <w:rFonts w:ascii="Times New Roman" w:hAnsi="Times New Roman"/>
                  <w:color w:val="0000FF"/>
                  <w:sz w:val="20"/>
                  <w:u w:val="single"/>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1a_risk_factors">
              <w:r>
                <w:rPr>
                  <w:rStyle w:val="InternetLink"/>
                  <w:rFonts w:ascii="Times New Roman" w:hAnsi="Times New Roman"/>
                  <w:color w:val="0000FF"/>
                  <w:sz w:val="20"/>
                  <w:u w:val="single"/>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5_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2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33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6_exhibits">
              <w:r>
                <w:rPr>
                  <w:rStyle w:val="InternetLink"/>
                  <w:rFonts w:ascii="Times New Roman" w:hAnsi="Times New Roman"/>
                  <w:color w:val="0000FF"/>
                  <w:sz w:val="20"/>
                  <w:u w:val="single"/>
                </w:rPr>
                <w:t>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88</w:t>
            </w:r>
          </w:p>
        </w:tc>
      </w:tr>
      <w:tr>
        <w:trPr/>
        <w:tc>
          <w:tcPr>
            <w:tcW w:w="94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Kailera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 (unaudited)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96"/>
        <w:gridCol w:w="146"/>
        <w:gridCol w:w="211"/>
        <w:gridCol w:w="931"/>
        <w:gridCol w:w="166"/>
        <w:gridCol w:w="213"/>
        <w:gridCol w:w="850"/>
        <w:gridCol w:w="592"/>
      </w:tblGrid>
      <w:tr>
        <w:trPr/>
        <w:tc>
          <w:tcPr>
            <w:tcW w:w="7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160,267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557,537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106,672</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clinical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56,388</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Series A convertible preferred stock: $0.00001 par value; no shares authorized, issued and outstanding at June 30, 2026; 35,677,603 shares authorized,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390,306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Series B convertible preferred stock: $0.00001 par value; no shares authorized, issued and outstanding at June 30, 2026; 43,084,539 shares authorized, issued and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602,058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$0.00001 par value; 10,000,000 shares authorized and no shares issued and outstanding at June 30, 2026; no shares authorized, issued and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$0.00001 par value; 800,000,000 shares and 105,384,000 shares authorized at June 30, 2026 and December 31, 2025, respectively; 129,620,370 and 19,048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(368,668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(356,458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Kailera Therapeutics, Inc.</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w:t>
      </w:r>
      <w:bookmarkStart w:id="6" w:name="consol_state_operations_comprehens_loss"/>
      <w:bookmarkEnd w:id="6"/>
      <w:r>
        <w:rPr>
          <w:rFonts w:ascii="Times New Roman" w:hAnsi="Times New Roman"/>
          <w:b/>
          <w:color w:val="000000"/>
          <w:sz w:val="20"/>
        </w:rPr>
        <w:t>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 for all periods presented and per share data for 2026)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9"/>
        <w:gridCol w:w="146"/>
        <w:gridCol w:w="211"/>
        <w:gridCol w:w="1141"/>
        <w:gridCol w:w="166"/>
        <w:gridCol w:w="146"/>
        <w:gridCol w:w="211"/>
        <w:gridCol w:w="736"/>
        <w:gridCol w:w="166"/>
        <w:gridCol w:w="146"/>
        <w:gridCol w:w="211"/>
        <w:gridCol w:w="1036"/>
        <w:gridCol w:w="166"/>
        <w:gridCol w:w="146"/>
        <w:gridCol w:w="211"/>
        <w:gridCol w:w="736"/>
        <w:gridCol w:w="591"/>
      </w:tblGrid>
      <w:tr>
        <w:trPr/>
        <w:tc>
          <w:tcPr>
            <w:tcW w:w="4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102,226,608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51,124,108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Kailera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_of_equity"/>
      <w:bookmarkEnd w:id="7"/>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 (unaudited)</w:t>
      </w:r>
    </w:p>
    <w:p>
      <w:pPr>
        <w:pStyle w:val="TextBody"/>
        <w:bidi w:val="0"/>
        <w:jc w:val="both"/>
        <w:rPr/>
      </w:pPr>
      <w:r>
        <w:rPr/>
        <w:t> </w:t>
      </w:r>
    </w:p>
    <w:tbl>
      <w:tblPr>
        <w:tblW w:w="17826" w:type="dxa"/>
        <w:jc w:val="left"/>
        <w:tblInd w:w="0" w:type="dxa"/>
        <w:tblLayout w:type="fixed"/>
        <w:tblCellMar>
          <w:top w:w="28" w:type="dxa"/>
          <w:left w:w="28" w:type="dxa"/>
          <w:bottom w:w="28" w:type="dxa"/>
          <w:right w:w="28" w:type="dxa"/>
        </w:tblCellMar>
      </w:tblPr>
      <w:tblGrid>
        <w:gridCol w:w="1281"/>
        <w:gridCol w:w="146"/>
        <w:gridCol w:w="976"/>
        <w:gridCol w:w="166"/>
        <w:gridCol w:w="196"/>
        <w:gridCol w:w="751"/>
        <w:gridCol w:w="166"/>
        <w:gridCol w:w="146"/>
        <w:gridCol w:w="886"/>
        <w:gridCol w:w="166"/>
        <w:gridCol w:w="196"/>
        <w:gridCol w:w="661"/>
        <w:gridCol w:w="166"/>
        <w:gridCol w:w="146"/>
        <w:gridCol w:w="751"/>
        <w:gridCol w:w="166"/>
        <w:gridCol w:w="196"/>
        <w:gridCol w:w="661"/>
        <w:gridCol w:w="166"/>
        <w:gridCol w:w="146"/>
        <w:gridCol w:w="976"/>
        <w:gridCol w:w="166"/>
        <w:gridCol w:w="196"/>
        <w:gridCol w:w="751"/>
        <w:gridCol w:w="166"/>
        <w:gridCol w:w="146"/>
        <w:gridCol w:w="146"/>
        <w:gridCol w:w="1006"/>
        <w:gridCol w:w="146"/>
        <w:gridCol w:w="249"/>
        <w:gridCol w:w="442"/>
        <w:gridCol w:w="146"/>
        <w:gridCol w:w="196"/>
        <w:gridCol w:w="826"/>
        <w:gridCol w:w="146"/>
        <w:gridCol w:w="299"/>
        <w:gridCol w:w="872"/>
        <w:gridCol w:w="166"/>
        <w:gridCol w:w="217"/>
        <w:gridCol w:w="834"/>
        <w:gridCol w:w="16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A-1 </w:t>
              <w:br/>
              <w:t>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A-2 </w:t>
              <w:br/>
              <w:t>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(NV)</w:t>
              <w:br/>
              <w:t>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w:t>
              <w:br/>
              <w:t>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9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43,084,539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(356,458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43,084,539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convertible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(43,084,539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84,596,391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992,364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completion of initial public offering, net of commissions, underwriting discounts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661,983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129,620,370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1,118,464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5781" w:type="dxa"/>
        <w:jc w:val="left"/>
        <w:tblInd w:w="0" w:type="dxa"/>
        <w:tblLayout w:type="fixed"/>
        <w:tblCellMar>
          <w:top w:w="28" w:type="dxa"/>
          <w:left w:w="28" w:type="dxa"/>
          <w:bottom w:w="28" w:type="dxa"/>
          <w:right w:w="28" w:type="dxa"/>
        </w:tblCellMar>
      </w:tblPr>
      <w:tblGrid>
        <w:gridCol w:w="1281"/>
        <w:gridCol w:w="146"/>
        <w:gridCol w:w="916"/>
        <w:gridCol w:w="146"/>
        <w:gridCol w:w="196"/>
        <w:gridCol w:w="691"/>
        <w:gridCol w:w="146"/>
        <w:gridCol w:w="146"/>
        <w:gridCol w:w="826"/>
        <w:gridCol w:w="146"/>
        <w:gridCol w:w="196"/>
        <w:gridCol w:w="601"/>
        <w:gridCol w:w="146"/>
        <w:gridCol w:w="146"/>
        <w:gridCol w:w="691"/>
        <w:gridCol w:w="146"/>
        <w:gridCol w:w="196"/>
        <w:gridCol w:w="601"/>
        <w:gridCol w:w="146"/>
        <w:gridCol w:w="173"/>
        <w:gridCol w:w="413"/>
        <w:gridCol w:w="146"/>
        <w:gridCol w:w="249"/>
        <w:gridCol w:w="442"/>
        <w:gridCol w:w="146"/>
        <w:gridCol w:w="146"/>
        <w:gridCol w:w="173"/>
        <w:gridCol w:w="413"/>
        <w:gridCol w:w="146"/>
        <w:gridCol w:w="249"/>
        <w:gridCol w:w="442"/>
        <w:gridCol w:w="146"/>
        <w:gridCol w:w="241"/>
        <w:gridCol w:w="630"/>
        <w:gridCol w:w="146"/>
        <w:gridCol w:w="423"/>
        <w:gridCol w:w="748"/>
        <w:gridCol w:w="166"/>
        <w:gridCol w:w="217"/>
        <w:gridCol w:w="834"/>
        <w:gridCol w:w="166"/>
        <w:gridCol w:w="208"/>
        <w:gridCol w:w="798"/>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A-1 </w:t>
              <w:b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A-2 </w:t>
              <w:b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(NV)</w:t>
              <w:b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w:t>
              <w:b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4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Kailera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of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(46,930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preferred stock tranche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Non-current clinical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(738,259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(136,612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(128,612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common stock, net of commissions and underwriting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668,438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deferred offering costs related to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664,046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(73,044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175,178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102,134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101,373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102,134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Conversion of convertible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offering costs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Increase in right-of-use assets and operating lease liabilities from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Kailera Therapeutics, Inc.</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bookmarkStart w:id="9" w:name="notes_to_unaudited_condensed_consolidate"/>
      <w:bookmarkEnd w:id="9"/>
      <w:r>
        <w:rPr>
          <w:rFonts w:ascii="Times New Roman" w:hAnsi="Times New Roman"/>
          <w:b/>
          <w:color w:val="000000"/>
          <w:sz w:val="20"/>
        </w:rPr>
        <w:t>Notes to condensed consolidated financial statements (unaudited)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 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Kailera Therapeutics, Inc. (the “Company” or “Kailera”) is an advanced clinical-stage biotechnology company focused on elevating the next era of obesity care by advancing a diversified pipeline to provide options for people living with obesity no matter where they are in their treatment journey.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was incorporated in May 2024 and is subject to risks and uncertainties common to early-stage companies in the biopharmaceutical industry, including but not limited to, new technological innovations, protection of proprietary technology, dependence on key personnel, compliance with government regulations, reliance on third-party organizations for the discovery, manufacturing, clinical support of its product candidates,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and infrastructure and extensive compliance-reporting capabilities.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April 20, 2026, the Company completed its initial public offering, in which it issued and sold an aggregate of 44,921,875 shares of its common stock (inclusive of 5,859,375 shares pursuant to the full exercise of the underwriters’ overallotment option) at a public offering price of $16.00 per share for gross proceeds of $718.8 million. The Company received aggregate net proceeds of $662.0 million after deducting commissions, underwriting discounts and other offering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Through June 30, 2026, the Company has funded its operations primarily with proceeds from the sale and issuance of shares of convertible preferred stock, the issuance of convertible promissory notes, which converted into shares of convertible preferred stock and the sale and issuance of common stock as part of its initial public offering. The Company has incurred losses since its inception, including a net loss of $190.2 million for the six months ended June 30, 2026. In addition, as of June 30, 2026, the Company had an accumulated deficit of $558.8 million.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and could require it to significantly delay, scale back or discontinue the development and commercialization of one or more of its product candidates. There can be no assurance that the current operating plan will be achieved or that additional funding will be available on terms acceptable to the Company,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cash, cash equivalents and marketable securities on hand of $1,171.8 million as of June 30, 2026 will be sufficient to fund its operations and capital expenditure requirements for at least twelve months from the date these condensed consolidated financial statements are issued.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Kailera Therapeutics, Inc., and its wholly owned subsidiaries,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consolidated balance sheet as of December 31, 2025 was derived from audited financial statements but does not include all disclosures required by GAAP. The accompanying unaudited financial statements as of June 30, 2026 and for the three and six months ended June 30, 2026 and 2025 have been prepared pursuant to the rules and regulations of the Securities and Exchange Commission, or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included in its final prospectus filed with the SEC pursuant to Rule 424(b) under the Securities Act of 1933, as amended, on April 17, 2026 (the “Prospectus”). The unaudited condensed consolidated financial statements have been prepared on the same basis as the annual financial statements and, in the opinion of management, reflect all adjustments, consisting only of normal recurring adjustments necessary for a fair presentation of the Company’s financial position as of June 30, 2026, and the results of operations for the three and six months ended June 30, 2026 and 2025 and cash flows for the six months ended June 30, 2026. The results of operations for the three and six months ended June 30, 2026 are not necessarily indicative of the results of operations that may be expected for the year ending December 31, 2026 or any other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Company’s significant accounting policies, which are described in Note 2 of the Notes to the Consolidated Financial Statements for the year ended December 31, 2025 included in the Prospectus related to the initial public offering filed with the SEC pursuant to Rule 424(b)(4) under the Securities Act of 1933, have not changed, except as noted below.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stock-based awards issued to employees, non-employees,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service-based vesting conditions and records the expense for these awards using the straight-line method. The Company issues performance-based awards and records the expense for these awards over the expected vesting term and recognizes expense only if it is probable the performance-based conditions will be achieved. The Company issues stock-based awards with market-based vesting conditions and recognizes expense as the requisite service is rendered by the employee, regardless of when, if ever, the market-based vesting conditions are satisfied. The Company accounts for forfeitures as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classifies stock-based compensation expense in its condensed consolidated statements of operations and comprehensive loss in the same manner in which the award recipient’s cash compensation costs are classified.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each stock option award with either service-based vesting conditions or performance-based conditions is estimated on the date of grant using the Black-Scholes option pricing model. As there is limited trading history of its common stock, the Company determined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each stock option award with market-based vesting conditions is estimated on the date of grant using a Monte Carlo simulation model.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Emerging growth company status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exemptions up until the last day of the fiscal year following the fifth anniversary of its initial public offering, or December 31, 2031, or such earlier time that it is no longer an emerging growth company. The Company would cease to be an emerging growth company if it has more than $1.235 billion in annual revenue, if it has more than $700.0 million in market value of our stock held by non-affiliates (and it has been a public company for at least 12 months and has filed one annual report on Form 10-K) or the Company issues more than $1.0 billion of non-convertible debt securities over a three-year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the issuance of these financial statements, the Company is also a “smaller reporting company”, meaning that the market value of the Company's stock held by non-affiliates is less than $700 million and its annual revenue was less than $100 million during the most recently completed fiscal year. The Company may continue to be a smaller reporting company if either (i) the market value of its stock held by non-affiliates is less than $250 million or (ii) its annual revenue is less than $100 million during the most recently completed fiscal year and the market value of its stock held by non-affiliates is less than $700 million. If the Company is a smaller reporting company at the time it ceases to be an emerging growth company, the Company may continue to rely on exemptions from certain disclosure requirements that are available to smaller reporting companies. Specifically, as a smaller reporting company the Company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and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adopted by the Company as of the specified effective date. Unless otherwise discussed below, the Company believes that the impact of recently issued standards that are not yet effective will not have a material impact on its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The amendments in ASU 2024-03 require public entities to disclose specified information about certain costs and expenses. ASU 2024-03 is effective for fiscal years beginning after December 15, 2026, and for interim periods within those fiscal years beginning after December 15, 2027. The Company is currently evaluating the impact of this standard on its condensed consolidated financial statements.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w:t>
      </w:r>
      <w:r>
        <w:rPr>
          <w:rFonts w:ascii="Times New Roman" w:hAnsi="Times New Roman"/>
          <w:color w:val="000000"/>
          <w:sz w:val="20"/>
        </w:rPr>
        <w:t xml:space="preserve"> (“ASU 2025-06”). The amendments change (i) the criteria regarding the timing of the capitalization of costs for internal-use software and (ii) the accounting for website development costs. The amendments are effective for annual periods beginning after December 15, 2027. The Company is currently evaluating the impact of the amendments on its condensed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Scope Refinements and Scope Clarification for Share-Based Noncash Consideration from a Customer in a Revenue Contract</w:t>
      </w:r>
      <w:r>
        <w:rPr>
          <w:rFonts w:ascii="Times New Roman" w:hAnsi="Times New Roman"/>
          <w:color w:val="000000"/>
          <w:sz w:val="20"/>
        </w:rPr>
        <w:t xml:space="preserve"> (“ASU 2025-07”). The guidance refines the scope of ASC Topic 815, Derivatives and Hedging, to clarify which contracts are subject to derivative accounting. The guidance also provides clarification under ASC 606 for share-based payments from a customer in a revenue contract. The Company adopted the standard on a modified retrospective basis as of January 1, 2026. As a result of the new derivative scope exception created by the standard, certain previously identified derivatives no longer meet the criteria for derivative accounting. These derivatives did not have any fair value as of December 31, 2025, and therefore no amounts are recognized related to the adoption of the standard. The guidance of ASU 2025-07 related to share-based noncash consideration received in exchange for the transfer of goods or services to a customer did not have any impact on the Company's condensed consolidated financial statements upon adoption.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xml:space="preserve"> (“ASU 2025-12”). ASU 2025-12 addresses suggestions received from stakeholders on the ASC and to make other incremental improvements to U.S. GAAP. The update represents changes to the ASC that (1) clarify, (2) correct errors, or (3) make minor improvements. The amendments make the ASC easier to understand and apply. The guidance is effective for fiscal years beginning after December 15, 2026, including interim periods within those fiscal years. The Company is currently evaluating the impact of this standard on its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amortized cost and estimated fair value of the Company’s investments, which are considered to be available-for-sale investments, and were included in marketable securities and long-term marketable securities (in thousands):</w:t>
      </w:r>
    </w:p>
    <w:p>
      <w:pPr>
        <w:pStyle w:val="TextBody"/>
        <w:bidi w:val="0"/>
        <w:jc w:val="left"/>
        <w:rPr/>
      </w:pPr>
      <w:r>
        <w:rPr/>
        <w:t> </w:t>
      </w:r>
    </w:p>
    <w:tbl>
      <w:tblPr>
        <w:tblW w:w="8705" w:type="dxa"/>
        <w:jc w:val="left"/>
        <w:tblInd w:w="0" w:type="dxa"/>
        <w:tblLayout w:type="fixed"/>
        <w:tblCellMar>
          <w:top w:w="28" w:type="dxa"/>
          <w:left w:w="28" w:type="dxa"/>
          <w:bottom w:w="28" w:type="dxa"/>
          <w:right w:w="28" w:type="dxa"/>
        </w:tblCellMar>
      </w:tblPr>
      <w:tblGrid>
        <w:gridCol w:w="3516"/>
        <w:gridCol w:w="146"/>
        <w:gridCol w:w="211"/>
        <w:gridCol w:w="781"/>
        <w:gridCol w:w="146"/>
        <w:gridCol w:w="146"/>
        <w:gridCol w:w="335"/>
        <w:gridCol w:w="551"/>
        <w:gridCol w:w="146"/>
        <w:gridCol w:w="146"/>
        <w:gridCol w:w="222"/>
        <w:gridCol w:w="664"/>
        <w:gridCol w:w="166"/>
        <w:gridCol w:w="146"/>
        <w:gridCol w:w="211"/>
        <w:gridCol w:w="781"/>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05" w:type="dxa"/>
        <w:jc w:val="left"/>
        <w:tblInd w:w="0" w:type="dxa"/>
        <w:tblLayout w:type="fixed"/>
        <w:tblCellMar>
          <w:top w:w="28" w:type="dxa"/>
          <w:left w:w="28" w:type="dxa"/>
          <w:bottom w:w="28" w:type="dxa"/>
          <w:right w:w="28" w:type="dxa"/>
        </w:tblCellMar>
      </w:tblPr>
      <w:tblGrid>
        <w:gridCol w:w="3516"/>
        <w:gridCol w:w="146"/>
        <w:gridCol w:w="211"/>
        <w:gridCol w:w="781"/>
        <w:gridCol w:w="146"/>
        <w:gridCol w:w="146"/>
        <w:gridCol w:w="295"/>
        <w:gridCol w:w="591"/>
        <w:gridCol w:w="146"/>
        <w:gridCol w:w="146"/>
        <w:gridCol w:w="318"/>
        <w:gridCol w:w="568"/>
        <w:gridCol w:w="166"/>
        <w:gridCol w:w="146"/>
        <w:gridCol w:w="211"/>
        <w:gridCol w:w="781"/>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short-term marketable securities with original maturities of less than 90 days are included in cash and cash equivalents on the consolidated balance sheets and are not included in the tables above. As of June 30, 2026, all short-term marketable securities had contractual maturities within one year and all long-term marketable securities had contractual maturities between one to two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held 146 and 12 securities, respectively, that were in an unrealized loss position, with a total fair market value of $977.8 million and $79.0 million, respectively. As of June 30, 2026 and December 31, 2025, there were no available-for-sale securities in a continuous unrealized loss position for greater than 12 months. The Company evaluated its securities for potential impairment and considered the decline in market value to be primarily attributable to current economic and market conditions. Additionally, the Company does not intend to sell the investments in an unrealized loss position and does not expect it will be required to sell the investments before recovery of their amortized cost bases, which may be at maturity. Given the Company’s intent and ability to hold such investments until recovery, and the lack of a significant change in credit risk for these investments, the Company does not consider these investments to be impaired and there were no allowances for credit losses as of June 30, 2026 and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Fair value of financial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jc w:val="both"/>
        <w:rPr/>
      </w:pPr>
      <w:r>
        <w:rPr/>
        <w:t> </w:t>
      </w:r>
    </w:p>
    <w:tbl>
      <w:tblPr>
        <w:tblW w:w="8730" w:type="dxa"/>
        <w:jc w:val="left"/>
        <w:tblInd w:w="0" w:type="dxa"/>
        <w:tblLayout w:type="fixed"/>
        <w:tblCellMar>
          <w:top w:w="28" w:type="dxa"/>
          <w:left w:w="28" w:type="dxa"/>
          <w:bottom w:w="28" w:type="dxa"/>
          <w:right w:w="28" w:type="dxa"/>
        </w:tblCellMar>
      </w:tblPr>
      <w:tblGrid>
        <w:gridCol w:w="3516"/>
        <w:gridCol w:w="146"/>
        <w:gridCol w:w="211"/>
        <w:gridCol w:w="676"/>
        <w:gridCol w:w="146"/>
        <w:gridCol w:w="146"/>
        <w:gridCol w:w="211"/>
        <w:gridCol w:w="931"/>
        <w:gridCol w:w="146"/>
        <w:gridCol w:w="146"/>
        <w:gridCol w:w="239"/>
        <w:gridCol w:w="391"/>
        <w:gridCol w:w="146"/>
        <w:gridCol w:w="146"/>
        <w:gridCol w:w="211"/>
        <w:gridCol w:w="931"/>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535" w:type="dxa"/>
        <w:jc w:val="left"/>
        <w:tblInd w:w="0" w:type="dxa"/>
        <w:tblLayout w:type="fixed"/>
        <w:tblCellMar>
          <w:top w:w="28" w:type="dxa"/>
          <w:left w:w="28" w:type="dxa"/>
          <w:bottom w:w="28" w:type="dxa"/>
          <w:right w:w="28" w:type="dxa"/>
        </w:tblCellMar>
      </w:tblPr>
      <w:tblGrid>
        <w:gridCol w:w="3516"/>
        <w:gridCol w:w="146"/>
        <w:gridCol w:w="211"/>
        <w:gridCol w:w="781"/>
        <w:gridCol w:w="146"/>
        <w:gridCol w:w="146"/>
        <w:gridCol w:w="211"/>
        <w:gridCol w:w="781"/>
        <w:gridCol w:w="146"/>
        <w:gridCol w:w="146"/>
        <w:gridCol w:w="239"/>
        <w:gridCol w:w="391"/>
        <w:gridCol w:w="146"/>
        <w:gridCol w:w="146"/>
        <w:gridCol w:w="211"/>
        <w:gridCol w:w="781"/>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there were no transfers between Level 1, Level 2 and Level 3.</w:t>
      </w:r>
    </w:p>
    <w:p>
      <w:pPr>
        <w:pStyle w:val="TextBody"/>
        <w:bidi w:val="0"/>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5. Prepaid expenses and other current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both"/>
        <w:rPr/>
      </w:pPr>
      <w:r>
        <w:rPr/>
        <w:t> </w:t>
      </w:r>
    </w:p>
    <w:tbl>
      <w:tblPr>
        <w:tblW w:w="5972" w:type="dxa"/>
        <w:jc w:val="left"/>
        <w:tblInd w:w="0" w:type="dxa"/>
        <w:tblLayout w:type="fixed"/>
        <w:tblCellMar>
          <w:top w:w="28" w:type="dxa"/>
          <w:left w:w="28" w:type="dxa"/>
          <w:bottom w:w="28" w:type="dxa"/>
          <w:right w:w="28" w:type="dxa"/>
        </w:tblCellMar>
      </w:tblPr>
      <w:tblGrid>
        <w:gridCol w:w="3361"/>
        <w:gridCol w:w="146"/>
        <w:gridCol w:w="211"/>
        <w:gridCol w:w="676"/>
        <w:gridCol w:w="146"/>
        <w:gridCol w:w="146"/>
        <w:gridCol w:w="260"/>
        <w:gridCol w:w="835"/>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2025, the Company entered into lease agreements for office space located in Waltham, Massachusetts and San Diego, California, both of which were scheduled to expire in 2025 and were classified as operating leases. Each lease contained both fixed and variable lease payments. The lease for the premises in Waltham, Massachusetts included an option to extend the lease term for one six-month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2025, the Company executed a new, seven-year, non-cancellable operating lease agreement for approximately 39,500 square feet of office space in Waltham, Massachusetts for its corporate headquarters. The lease commenced in October 2025,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completion of construction to prepare the premises for the Company’s intended use. The lease provided for base rent of $2.2 million for the first year, which will increase by approximately 2% each year. The Company’s lease payments also include real estate taxes and other operating expenses allocable to the leased premises, which exceed base year amounts. The Company has the option to extend the lease for one additional five-year term with base rent calculated on the then-market rate. In accordance with the lease agreement, the Company maintained a letter of credit of $0.8 million, which is refundable at the end of the lease term. As of June 30, 2026, the underlying cash balance collateralizing this letter of credit was classified as restricted cash (non-current) on the condensed consolidated balance sheets based on the release date of the restrictions of this cash. In connection with the new lease agreement, the Company amended its previous lease in Waltham, Massachusetts to extend the lease term to end shortly after the lease commencement date of its new lease agreement, which occurred in the fourth quarter of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commencement of the lease for its corporate headquarters, the Company recognized operating lease liabilities of $10.6 million, based on an expected contractual obligation of $15.9 million and an incremental borrowing rate of 12.0% and recognized a right-of-use asset of $10.6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effect of lease costs in the Company’s condensed consolidated statements of operations and comprehensive loss (in thousands):</w:t>
      </w:r>
    </w:p>
    <w:p>
      <w:pPr>
        <w:pStyle w:val="TextBody"/>
        <w:bidi w:val="0"/>
        <w:jc w:val="both"/>
        <w:rPr/>
      </w:pPr>
      <w:r>
        <w:rPr/>
        <w:t> </w:t>
      </w:r>
    </w:p>
    <w:tbl>
      <w:tblPr>
        <w:tblW w:w="6794" w:type="dxa"/>
        <w:jc w:val="left"/>
        <w:tblInd w:w="0" w:type="dxa"/>
        <w:tblLayout w:type="fixed"/>
        <w:tblCellMar>
          <w:top w:w="28" w:type="dxa"/>
          <w:left w:w="28" w:type="dxa"/>
          <w:bottom w:w="28" w:type="dxa"/>
          <w:right w:w="28" w:type="dxa"/>
        </w:tblCellMar>
      </w:tblPr>
      <w:tblGrid>
        <w:gridCol w:w="1831"/>
        <w:gridCol w:w="146"/>
        <w:gridCol w:w="307"/>
        <w:gridCol w:w="613"/>
        <w:gridCol w:w="212"/>
        <w:gridCol w:w="212"/>
        <w:gridCol w:w="307"/>
        <w:gridCol w:w="613"/>
        <w:gridCol w:w="146"/>
        <w:gridCol w:w="146"/>
        <w:gridCol w:w="256"/>
        <w:gridCol w:w="693"/>
        <w:gridCol w:w="177"/>
        <w:gridCol w:w="177"/>
        <w:gridCol w:w="256"/>
        <w:gridCol w:w="51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2026 and 2025, the Company made cash payments for operating leases of $1.2 million and $0.3 million,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future minimum lease payments due under operating leases as of June 30, 2026 (in thousands):</w:t>
      </w:r>
    </w:p>
    <w:p>
      <w:pPr>
        <w:pStyle w:val="TextBody"/>
        <w:bidi w:val="0"/>
        <w:jc w:val="both"/>
        <w:rPr/>
      </w:pPr>
      <w:r>
        <w:rPr/>
        <w:t> </w:t>
      </w:r>
    </w:p>
    <w:tbl>
      <w:tblPr>
        <w:tblW w:w="4173" w:type="dxa"/>
        <w:jc w:val="left"/>
        <w:tblInd w:w="0" w:type="dxa"/>
        <w:tblLayout w:type="fixed"/>
        <w:tblCellMar>
          <w:top w:w="28" w:type="dxa"/>
          <w:left w:w="28" w:type="dxa"/>
          <w:bottom w:w="28" w:type="dxa"/>
          <w:right w:w="28" w:type="dxa"/>
        </w:tblCellMar>
      </w:tblPr>
      <w:tblGrid>
        <w:gridCol w:w="2401"/>
        <w:gridCol w:w="146"/>
        <w:gridCol w:w="289"/>
        <w:gridCol w:w="926"/>
        <w:gridCol w:w="4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minimum</w:t>
              <w:br/>
              <w:t>lease payments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total lease liabilities are presented on the Company’s consolidated balance sheets based on maturity dates. As of June 30, 2026, $1.0 million is classified under “operating lease liabilities, current” for the portion due within twelve months, and $9.2 million is classified under “operating lease liabilities, non-current.”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weighted average remaining lease term was 6.3 years and the weighted average incremental borrowing rate used to determine the operating lease liability was 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both"/>
        <w:rPr/>
      </w:pPr>
      <w:r>
        <w:rPr/>
        <w:t> </w:t>
      </w:r>
    </w:p>
    <w:tbl>
      <w:tblPr>
        <w:tblW w:w="6467" w:type="dxa"/>
        <w:jc w:val="left"/>
        <w:tblInd w:w="0" w:type="dxa"/>
        <w:tblLayout w:type="fixed"/>
        <w:tblCellMar>
          <w:top w:w="28" w:type="dxa"/>
          <w:left w:w="28" w:type="dxa"/>
          <w:bottom w:w="28" w:type="dxa"/>
          <w:right w:w="28" w:type="dxa"/>
        </w:tblCellMar>
      </w:tblPr>
      <w:tblGrid>
        <w:gridCol w:w="3856"/>
        <w:gridCol w:w="146"/>
        <w:gridCol w:w="211"/>
        <w:gridCol w:w="676"/>
        <w:gridCol w:w="146"/>
        <w:gridCol w:w="146"/>
        <w:gridCol w:w="260"/>
        <w:gridCol w:w="835"/>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authorized capital stock of the Company included 10,000,000 shares of $0.00001 par value preferred stock, of which there were no shares issued or outstanding.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preferred stock consisted of the following:</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57"/>
        <w:gridCol w:w="146"/>
        <w:gridCol w:w="146"/>
        <w:gridCol w:w="1036"/>
        <w:gridCol w:w="146"/>
        <w:gridCol w:w="146"/>
        <w:gridCol w:w="157"/>
        <w:gridCol w:w="1115"/>
        <w:gridCol w:w="146"/>
        <w:gridCol w:w="146"/>
        <w:gridCol w:w="211"/>
        <w:gridCol w:w="1141"/>
        <w:gridCol w:w="146"/>
        <w:gridCol w:w="146"/>
        <w:gridCol w:w="211"/>
        <w:gridCol w:w="1141"/>
        <w:gridCol w:w="146"/>
        <w:gridCol w:w="146"/>
        <w:gridCol w:w="146"/>
        <w:gridCol w:w="1038"/>
        <w:gridCol w:w="192"/>
      </w:tblGrid>
      <w:tr>
        <w:trPr/>
        <w:tc>
          <w:tcPr>
            <w:tcW w:w="2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w:t>
              <w:b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issuable upon</w:t>
              <w:br/>
              <w:t>conversion</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convertible preferred</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294,357,583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voting convertible</w:t>
              <w:br/>
              <w:t>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84,500,659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49,687,890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9,477,719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nonvoting convertible</w:t>
              <w:br/>
              <w:t>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2,034,133</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Series A-2 convertible</w:t>
              <w:br/>
              <w:t>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95,948,005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56,776,030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11,511,852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convertible preferred</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43,084,539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43,084,539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602,057,535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603,183,546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43,084,539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78,762,142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78,762,142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992,363,123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959,959,576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84,596,391</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On April 20, 2026, the Company completed its initial public offering and all outstanding shares of convertible preferred stock were converted into 84,596,391 shares of common stock. </w:t>
      </w:r>
    </w:p>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authorized capital stock of the Company included 800,000,000 shares of common stock, $0.00001 par value with 129,620,370 shares of common stock issued and outstanding. As of December 31, 2025, the authorized capital stock of the Company included 105,384,000 shares of common stock, $0.00001 par value, with 19,048 shares of common stock issued and outstanding.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April 20, 2026, the Company completed its initial public offering in which it issued and sold an aggregate of 44,921,875 shares of its common stock (inclusive of 5,859,375 shares pursuant to the full exercise of the underwriters’ overallotment option) at a public offering price of $16.00 per share for gross proceeds of $718.8 million. The Company received aggregate net proceeds of $662.0 million after deducting commissions, underwriting discounts and other offering costs.</w:t>
      </w:r>
    </w:p>
    <w:p>
      <w:pPr>
        <w:pStyle w:val="TextBody"/>
        <w:bidi w:val="0"/>
        <w:jc w:val="both"/>
        <w:rPr>
          <w:rFonts w:ascii="Times New Roman" w:hAnsi="Times New Roman"/>
          <w:color w:val="000000"/>
          <w:sz w:val="20"/>
        </w:rPr>
      </w:pPr>
      <w:r>
        <w:rPr>
          <w:rFonts w:ascii="Times New Roman" w:hAnsi="Times New Roman"/>
          <w:color w:val="000000"/>
          <w:sz w:val="20"/>
        </w:rPr>
        <w:t>As part of the initial public offering, all outstanding shares of convertible preferred stock were converted into 84,596,391 shares of common stock. The certificate of incorporation was also amended and restated which, among other things, adjusted the number of authorized shares to 800,000,000 shares and 10,000,000 shares of common stock and preferred stock,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share of common stock entitles the holder to one vote, together with the holders of the preferred stock. Common stockholders are entitled to receive dividends, subject to the preferential dividend rights of the preferred stock. Through June 30, 2026, no cash dividends have been declared or paid.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has reserved the following shares of common stock for future issuance:</w:t>
      </w:r>
    </w:p>
    <w:p>
      <w:pPr>
        <w:pStyle w:val="TextBody"/>
        <w:bidi w:val="0"/>
        <w:jc w:val="both"/>
        <w:rPr/>
      </w:pPr>
      <w:r>
        <w:rPr/>
        <w:t> </w:t>
      </w:r>
    </w:p>
    <w:tbl>
      <w:tblPr>
        <w:tblW w:w="7269" w:type="dxa"/>
        <w:jc w:val="left"/>
        <w:tblInd w:w="0" w:type="dxa"/>
        <w:tblLayout w:type="fixed"/>
        <w:tblCellMar>
          <w:top w:w="28" w:type="dxa"/>
          <w:left w:w="28" w:type="dxa"/>
          <w:bottom w:w="28" w:type="dxa"/>
          <w:right w:w="28" w:type="dxa"/>
        </w:tblCellMar>
      </w:tblPr>
      <w:tblGrid>
        <w:gridCol w:w="4171"/>
        <w:gridCol w:w="146"/>
        <w:gridCol w:w="146"/>
        <w:gridCol w:w="1036"/>
        <w:gridCol w:w="146"/>
        <w:gridCol w:w="146"/>
        <w:gridCol w:w="146"/>
        <w:gridCol w:w="1141"/>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conversion of Series A-1</w:t>
              <w:br/>
              <w:t>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conversion of Series A-2</w:t>
              <w:br/>
              <w:t>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conversion of Series B</w:t>
              <w:br/>
              <w:t>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43,084,539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exercise of outstanding stock</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13,470,409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all equity</w:t>
              <w:br/>
              <w:t>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11,079,292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authorized common stock reserved</w:t>
              <w:br/>
              <w:t>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29,665,889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100,095,032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360" w:after="283"/>
        <w:jc w:val="both"/>
        <w:rPr>
          <w:rFonts w:ascii="Times New Roman" w:hAnsi="Times New Roman"/>
          <w:sz w:val="20"/>
        </w:rPr>
      </w:pPr>
      <w:r>
        <w:rPr>
          <w:rFonts w:ascii="Times New Roman" w:hAnsi="Times New Roman"/>
          <w:b/>
          <w:i/>
          <w:color w:val="000000"/>
          <w:sz w:val="20"/>
        </w:rPr>
        <w:t>Incentive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2024 Equity Incentive Plan (the “2024 Plan”) provides for the Company to sell or issue common stock or restricted stock, or to grant incentive stock options or nonqualified stock options for the purchase of common stock, to employees, directors and consultants of the Company. The 2024 Plan is administered by the Board, or its delegee.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16, 2026, in connection with the Company's initial public offering, the Company adopted the 2026 Incentive Award Plan (the "2026 Plan"), which provides for the issuance of cash and equity awards. The number of shares initially available for issuance under awards granted pursuant to the 2026 Plan was 14,011,037 shares. The 2026 Plan provides that, on the first day of each calendar year beginning on and including January 1, 2027 and ending on and including January 1, 2036, the number of shares available for issuance under the 2026 Plan shall be increased by that number of shares equal to the lesser of (a) 5% of the aggregate number of shares outstanding on the final day of the immediately preceding calendar year and (b) such smaller number of shares as determined by the Board. Following the adoption of the 2026 Plan, any shares subject to an award issued under the 2024 Plan or the 2026 Plan that expires, lapses or is terminated, exchanged for or settled in cash, surrendered, repurchased, or canceled without having been fully exercised/settled, will become available for future grant under the 2026 Plan. As of June 30, 2026, 9,783,810 shares remained available for future grant under the 2026 Plan.</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exercise prices, vesting and other restrictions are determined at the discretion of the Board, or its delegee, except that the exercise price per share of stock options may not be less than 100% of the fair market value of the common stock on the date of grant and the term of the stock option may not be greater than ten years. The Company generally grants stock-based awards with service conditions only (“service-based” awards) which generally vest over three or four years. The Company also has granted performance-based awards which vest upon the achievement of specified events and market condition awards which vest upon the satisfaction of certain market-based conditions. Stock options generally expire after ten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16, 2026, in connection with the Company's initial public offering, the Company adopted the 2026 Employee Stock Purchase Plan (the "ESPP"), which provides for the issuance of up to 1,295,482 shares of common stock. The ESPP provides that, on the first day of each calendar year beginning on and including January 1, 2027 and ending on and including January 1, 2036, the number of shares available for issuance under the ESPP shall be increased by that number of shares equal to the lesser of (a) 1% of the aggregate number of shares outstanding on the final day of the immediately preceding calendar year and (b) such smaller number of shares as determined by the Board.</w:t>
      </w:r>
    </w:p>
    <w:p>
      <w:pPr>
        <w:pStyle w:val="TextBody"/>
        <w:bidi w:val="0"/>
        <w:spacing w:before="360" w:after="283"/>
        <w:jc w:val="both"/>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Company’s stock option activity during the six months ended June 30, 2026:</w:t>
      </w:r>
    </w:p>
    <w:p>
      <w:pPr>
        <w:pStyle w:val="TextBody"/>
        <w:bidi w:val="0"/>
        <w:jc w:val="both"/>
        <w:rPr/>
      </w:pPr>
      <w:r>
        <w:rPr/>
        <w:t> </w:t>
      </w:r>
    </w:p>
    <w:tbl>
      <w:tblPr>
        <w:tblW w:w="8229"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230"/>
        <w:gridCol w:w="626"/>
        <w:gridCol w:w="146"/>
        <w:gridCol w:w="146"/>
        <w:gridCol w:w="946"/>
        <w:gridCol w:w="146"/>
        <w:gridCol w:w="211"/>
        <w:gridCol w:w="78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The intrinsic value of stock options exercised during the three and six months ended June 30, 2026 was $1.1 million and $1.2 million, respectively. There were no stock options exercised during the three and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the Company’s stock options granted for the three months ended June 30, 2026 and 2025 was $11.26 and $3.81, respectively. The weighted-average grant-date fair value of the Company’s stock options granted for the six months ended June 30, 2026 and 2025 was $10.32 and $3.80, respectively.</w:t>
      </w:r>
    </w:p>
    <w:p>
      <w:pPr>
        <w:pStyle w:val="TextBody"/>
        <w:bidi w:val="0"/>
        <w:spacing w:before="360" w:after="283"/>
        <w:jc w:val="both"/>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the Black-Scholes model to value its stock option grants that vest based on the passage of time or the achievement of certain performance criteria and expenses the related compensation cost using the straight-line method over the vesting period. The assumptions that the Company used to determine the grant-date fair value of stock options granted during the three and six months ended June 30, 2026 and 2025 were as follows, presented on a weighted-average basis:</w:t>
      </w:r>
    </w:p>
    <w:p>
      <w:pPr>
        <w:pStyle w:val="TextBody"/>
        <w:bidi w:val="0"/>
        <w:spacing w:before="120" w:after="283"/>
        <w:jc w:val="both"/>
        <w:rPr/>
      </w:pPr>
      <w:r>
        <w:rPr/>
        <w:t> </w:t>
      </w:r>
    </w:p>
    <w:tbl>
      <w:tblPr>
        <w:tblW w:w="7583" w:type="dxa"/>
        <w:jc w:val="left"/>
        <w:tblInd w:w="0" w:type="dxa"/>
        <w:tblLayout w:type="fixed"/>
        <w:tblCellMar>
          <w:top w:w="28" w:type="dxa"/>
          <w:left w:w="28" w:type="dxa"/>
          <w:bottom w:w="28" w:type="dxa"/>
          <w:right w:w="28" w:type="dxa"/>
        </w:tblCellMar>
      </w:tblPr>
      <w:tblGrid>
        <w:gridCol w:w="2371"/>
        <w:gridCol w:w="146"/>
        <w:gridCol w:w="201"/>
        <w:gridCol w:w="643"/>
        <w:gridCol w:w="374"/>
        <w:gridCol w:w="201"/>
        <w:gridCol w:w="201"/>
        <w:gridCol w:w="643"/>
        <w:gridCol w:w="271"/>
        <w:gridCol w:w="146"/>
        <w:gridCol w:w="184"/>
        <w:gridCol w:w="588"/>
        <w:gridCol w:w="342"/>
        <w:gridCol w:w="184"/>
        <w:gridCol w:w="184"/>
        <w:gridCol w:w="588"/>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2026, the Company also granted stock options that vest upon the achievement of certain share price thresholds. The Company accounted for these stock options as market condition awards and used the Monte Carlo valuation model to determine the fair value of the stock options and an expense recognition period of approximately 1.3 years. As of June 30, 2026, there were a total of 1,297,500 market condition stock options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was allocated as follows (in thousands):</w:t>
      </w:r>
    </w:p>
    <w:p>
      <w:pPr>
        <w:pStyle w:val="TextBody"/>
        <w:bidi w:val="0"/>
        <w:jc w:val="both"/>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22"/>
        <w:gridCol w:w="713"/>
        <w:gridCol w:w="154"/>
        <w:gridCol w:w="154"/>
        <w:gridCol w:w="222"/>
        <w:gridCol w:w="60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total unrecognized compensation cost related to the unvested stock-based awards was $92.5 million, which is expected to be recognized over a weighted-average period of 2.9 years.</w:t>
      </w:r>
    </w:p>
    <w:p>
      <w:pPr>
        <w:pStyle w:val="TextBody"/>
        <w:bidi w:val="0"/>
        <w:spacing w:before="2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purposes of the diluted net loss per share calculation, stock options, unvested restricted stock and convertible preferred stock are considered to be common stock equivalents but have been excluded from the calculation of diluted net loss per share, as their effect would be anti-dilutive for the periods presented. Therefore, the weighted-average number of common shares outstanding used to calculate both basic and diluted net loss per share attributable to common stockholders is the same.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potentially dilutive common stock equivalents, presented based on amounts outstanding at the period end, were excluded from the computation of diluted net loss per share attributable to common stockholders for the periods indicated because including them would have had an anti-dilutive effect:</w:t>
      </w:r>
    </w:p>
    <w:p>
      <w:pPr>
        <w:pStyle w:val="TextBody"/>
        <w:bidi w:val="0"/>
        <w:jc w:val="both"/>
        <w:rPr/>
      </w:pPr>
      <w:r>
        <w:rPr/>
        <w:t> </w:t>
      </w:r>
    </w:p>
    <w:tbl>
      <w:tblPr>
        <w:tblW w:w="6669" w:type="dxa"/>
        <w:jc w:val="left"/>
        <w:tblInd w:w="0" w:type="dxa"/>
        <w:tblLayout w:type="fixed"/>
        <w:tblCellMar>
          <w:top w:w="28" w:type="dxa"/>
          <w:left w:w="28" w:type="dxa"/>
          <w:bottom w:w="28" w:type="dxa"/>
          <w:right w:w="28" w:type="dxa"/>
        </w:tblCellMar>
      </w:tblPr>
      <w:tblGrid>
        <w:gridCol w:w="3676"/>
        <w:gridCol w:w="146"/>
        <w:gridCol w:w="146"/>
        <w:gridCol w:w="1036"/>
        <w:gridCol w:w="146"/>
        <w:gridCol w:w="146"/>
        <w:gridCol w:w="146"/>
        <w:gridCol w:w="1036"/>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(as converted to</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39,487,338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47,051,642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business. The Company was not subject to any material legal proceedings during the six months ended June 30, 2026 and 2025, and, to the best of its knowledge, no material legal proceedings are currently pending or threatened as of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Significant agreements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Hengrui license and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the Company entered into a license and collaboration agreement (the “Hengrui License Agreement”) with Jiangsu Hengrui Pharmaceuticals Co., Ltd. (“Hengrui”). Upon execution of the Hengrui License Agreement, the Company paid $100.0 million in cash as a non-refundable upfront payment and incurred a $10.0 million technology transfer fee, which was paid in December 2024. The Company also issued 5,677,603 shares of Series A-2 convertible preferred stock. The fair value of these shares is accounted for as additional consideration for the acquired license.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Hengrui License Agreement, the Company obtained the exclusive right to develop, manufacture and commercialize specified programs worldwide, excluding China, Hong Kong, Macau, and Taiwan (the “Territory”). The Company is obligated to use commercially reasonable efforts to advance these programs. The Company may not pursue development of any competitive products, as defined in the Hengrui License Agreement, for a period of two years. The Company also has a right of first refusal on certain programs that are under development by Hengrui as well as options to license specified new form products and combination products developed by Hengrui.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Hengrui must provide certain transition and data sharing services and must also manufacture clinical materials on behalf of the Company upon request. The Company is responsible for all costs of developing and commercializing the programs in the Territory.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obligated to make clinical and regulatory milestone payments of up to an aggregate of $200.0 million. In addition, the Company is obligated to make commercial milestone payments of up to an aggregate of $5.7 billion. The Company is also obligated to make tiered royalty payments ranging from mid-single digit to low-tens based on a percentage of net sales by the Company. If the Company entered into any partnering relationships prior to November 15, 2025, the Company would have been required to pay Hengrui specified percentages of any consideration received based on the timing of when such an agreement was executed. The Company did not enter into any such partnering relationships prior to November 15,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elects to receive rights to the specified new form products or combination products, the Company must make option exercise payments of either a mid-seven figure amount or low-eight figure amount, which may be refundable with respect to combination products in certain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accounted for the arrangement as an asset acquisition of in-process research and development technology. No expenses were incurred or payments made, under the arrangement, during the six months ended June 30, 2026 and 2025. All other future payments will be recognized upon achievement.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Company entered into the Hengrui License Agreement. As partial consideration for this arrangement, the Company issued shares of Series A-2 convertible preferred stock, which represented 19.9% of the outstanding capital stock of the Company at issuance, on a fully-diluted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part of the agreement with Hengrui, Hengrui has agreed to provide the Company with manufacturing services and supplies. In connection with these services, the Company recognized $1.1 million and $1.5 million in research and development expenses for the three and six months ended June 30, 2026, respectively and $0.3 million and $0.7 million in research and development expenses for the three and six months ended June 30, 2025, respectively. Amounts due to Hengrui by the Company in connection with these services totaled $1.7 million and $0.2 million as of June 30, 2026 and December 31, 2025, respectively, which amounts were included in accrued expenses on the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a single operating segment for the purposes of assessing performance and making operating decisions. The Company’s current focus is on the development of a broad, advanced, and differentiated portfolio of clinical-stage injectable and oral therapies for the treatment of obesity. The Company has one reportable segment. The determination of reportable segments is based on the Chief Operating Decision Maker's ("CODM") use of financial information provided for the purpose of assessing performance and making operating decisions. The Company's CODM is its Chief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CODM assesses performance for the segment based on net loss. The measure of segment assets is reported on the balance sheet as total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seeks regulatory approval. As such, the CODM uses cash forecast models in deciding how to invest into the segment. Such cash forecast models are reviewed to assess the entity-wide operating results and performance. Net loss is used to monitor budget versus actual results. Monitoring budgeted versus actual results is used in assessing performance of the segment, along with cash forecast models.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summarizes the expense categories reviewed by the CODM for the three and six months ended June 30, 2026 and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94"/>
        <w:gridCol w:w="346"/>
        <w:gridCol w:w="211"/>
        <w:gridCol w:w="781"/>
        <w:gridCol w:w="166"/>
        <w:gridCol w:w="146"/>
        <w:gridCol w:w="211"/>
        <w:gridCol w:w="676"/>
        <w:gridCol w:w="346"/>
        <w:gridCol w:w="346"/>
        <w:gridCol w:w="211"/>
        <w:gridCol w:w="781"/>
        <w:gridCol w:w="166"/>
        <w:gridCol w:w="146"/>
        <w:gridCol w:w="211"/>
        <w:gridCol w:w="676"/>
        <w:gridCol w:w="391"/>
      </w:tblGrid>
      <w:tr>
        <w:trPr/>
        <w:tc>
          <w:tcPr>
            <w:tcW w:w="4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External research and development</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Ribupatide injection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Ribupatide oral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KAI-7535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KAI-4729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Unallocated research and development and other</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Personnel related (including stock-based compensation)</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External research and development is allocated to the Company’s programs, and includes nonclinical, clinical trial, contract manufacturing, non-employee consultant and contractor, and other 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sz w:val="24"/>
        </w:rPr>
      </w:pPr>
      <w:r>
        <w:rPr>
          <w:rFonts w:ascii="Times New Roman" w:hAnsi="Times New Roman"/>
          <w:color w:val="000000"/>
          <w:sz w:val="20"/>
        </w:rPr>
        <w:t>Unallocated research and development includes external costs that are not program specific primarily related to consultant and contractor costs, in addition to research and development allocated rent expense and depreciation.</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includes external costs related to the Company’s executive, finance, legal, and other administrative functions, such as professional fees for legal, patent, consulting, accounting, audit and tax services. General and administrative also includes information technology costs and general and administrative allocated rent expense and depreciation.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costs includes salaries and related costs, including stock-based compensation, for employees.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completed an evaluation of all subsequent events after June 30, 2026 through the issuance of the unaudited condensed consolidated financial statements, to ensure that these condensed consolidated financial statements include appropriate disclosure of events both recognized in the condensed consolidated financial statements as of June 30, 2026, and events which occurred subsequently but were not recognized in the condensed consolidated financial statements. No subsequent events have occurred that would require recognition in the unaudited condensed consolidated financial statements or disclosure in the accompanying notes.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da"/>
      <w:bookmarkEnd w:id="10"/>
      <w:r>
        <w:rPr>
          <w:rFonts w:ascii="Times New Roman" w:hAnsi="Times New Roman"/>
          <w:b/>
          <w:color w:val="000000"/>
          <w:sz w:val="20"/>
        </w:rPr>
        <w:t>Item 2. Management’s Discussion and Analysis of Financial Condition and Results of Operations.</w:t>
      </w:r>
    </w:p>
    <w:p>
      <w:pPr>
        <w:pStyle w:val="TextBody"/>
        <w:bidi w:val="0"/>
        <w:spacing w:before="36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unaudited condensed consolidated financial statements and related notes included elsewhere in this Quarterly Report on Form 10-Q, as well as our audited financial statements and notes thereto as of and for the year ended December 31, 2025 and the related Management’s Discussion and Analysis of Financial Condition and Results of Operations included in our final prospectus filed with the Securities and Exchange Commission (“SEC”) pursuant to Rule 424(b) under the Securities Act of 1933, as amended (the “Securities Act”) on April 17, 2026 (the “Prospectus”) that forms a part of our Registration Statement on Form S-1 (File No. 333-294690). This discussion and analysis contains forward-looking statements that involve risks and uncertainties. Factors that could cause or contribute to those differences include, but are not limited to, those identified below and those discussed in the section titled “Risk Factors” in Part II, Item 1A of this Quarterly Report on Form 10-Q. See also the section titled "Special Note Regarding Forward-Looking Statements." Additionally, our historical results are not necessarily indicative of the results that may be expected in any future period. Unless the context otherwise requires, all references in this section to the “Company”, “Kailera”, “we”, “our” or “us” refers to the business of Kailera Therapeutics,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biotechnology company focused on elevating the next era of obesity care by advancing a diversified pipeline to provide options for people living with obesity no matter where they are in their treatment journey. Obesity is a chronic, progressive and debilitating disease that impacts over 1 billion people globally and requires long-term comprehensive treatment. Since obesity is the driving factor for more than 200 comorbidities and represents a significant contributor to increased morbidity and mortality, our vision is to deliver category-leading obesity management medications that give people the power to restore their health and transform their lives. With our obesity-first focus, we have built a diversified pipeline of product candidates specifically designed to address critical needs in the current therapeutic landscape with a lead product candidate that we believe offers the potential for the greatest weight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rapidly progressing four clinical-stage product candidates, leveraging multiple glucagon-like peptide-1, or GLP-1, based mechanisms of action and routes of administration. Our lead product candidate, ribupatide injection (also known as KAI-9531), is currently being evaluated in global Phase 3 trials as a once-weekly injectable GLP-1/glucose-dependent insulinotropic polypeptide, or GIP, receptor dual agonist peptide that we believe offers the potential for the greatest weight loss compared to all obesity management medications currently available or in development. However, we have not conducted head-to-head clinical trials of ribupatide injection or any of our other product candidates against currently approved products or those in development; all of our product candidates are still in clinical development in the United States, and it will take several years to develop and, if approved, commercialize them; and even if we are successful in obtaining regulatory approval, there can be no guarantee as to our product candidates’ ability to outperform other therapies in terms of efficacy or tolerability. We are expanding our ribupatide franchise by developing a once-daily oral tablet formulation, ribupatide oral, to provide a convenient oral option with the potential for highly differentiated tolerability with compelling weight loss among oral treatments. Additionally, we are advancing a second oral product candidate, KAI-7535, a once-daily small molecule GLP-1 receptor agonist with the potential to improve on the clinical profile of existing oral treatments. Finally, we are developing KAI-4729, a once-weekly injectable GLP-1/GIP/glucagon receptor tri-agonist that leverages an incremental mechanism to potentially deliver compelling weight loss, improved liver fat reduction and a differentiated tolerability profile.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in-licensed ribupatide injection and our other product candidates through a strategic collaboration with Jiangsu Hengrui Pharmaceuticals Co., Ltd., or Hengrui, a global pharmaceutical company with extensive experience in drug discovery and development. In May 2024, we entered into a license and collaboration agreement with Hengrui, or the Hengrui License Agreement, which provides us with exclusive rights to the development and commercialization of our product candidates outside of China, Hong Kong, Macau and Taiwan, or Greater China, with Hengrui responsible for development and commercialization within Greater China.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diversified GLP-1-based pipeline is summarized below:</w:t>
      </w:r>
    </w:p>
    <w:p>
      <w:pPr>
        <w:pStyle w:val="TextBody"/>
        <w:bidi w:val="0"/>
        <w:jc w:val="center"/>
        <w:rPr/>
      </w:pPr>
      <w:r>
        <w:rPr/>
        <w:t> </w:t>
      </w:r>
    </w:p>
    <w:p>
      <w:pPr>
        <w:pStyle w:val="TextBody"/>
        <w:bidi w:val="0"/>
        <w:spacing w:before="240" w:after="283"/>
        <w:jc w:val="center"/>
        <w:rPr/>
      </w:pPr>
      <w:r>
        <w:rPr/>
        <w:drawing>
          <wp:inline distT="0" distB="0" distL="0" distR="0">
            <wp:extent cx="6505575" cy="2524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05575" cy="2524125"/>
                    </a:xfrm>
                    <a:prstGeom prst="rect">
                      <a:avLst/>
                    </a:prstGeom>
                  </pic:spPr>
                </pic:pic>
              </a:graphicData>
            </a:graphic>
          </wp:inline>
        </w:drawing>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Hengrui reported positive topline data from its Phase 3 trial of once-weekly ribupatide injection (4 mg and 2 mg) in type 2 diabetes, or T2D, patients with inadequate glycemic control despite diet and exercise interventions in China. Ribupatide injection showed significant reductions in HbA1c from baseline, with a maximum mean reduction of 2.67%, based on the efficacy estimand. In August 2026, Hengrui reported positive topline data from its Phase 3 trial of once-weekly ribupatide injection in adults with T2D with inadequate glycemic control after metformin monotherapy or combination therapy with an SGLT2 inhibitor in China. The mean HbA1c reductions in the ribupatide injection 4 mg and 2 mg groups reached 2.78% and 2.34%, respectively, compared to 2.29% in the semaglutide injection 1 mg group, with the primary endpoint achieving non-inferiority in both dose groups at Week 36, based on the efficacy estimand. In addition, ribupatide injection 4 mg demonstrated statistically significant superior HbA1c reduction compared to semaglutide 1 mg. In both trials, safety and tolerability data were consistent with other GLP-1-based treatments, with most treatment-emergent adverse events, or TEAEs, being mild to moderate and gastrointestinal-related.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Hengrui reported positive topline data from two Phase 3 clinical trials of KAI-7535 (being developed by Hengrui in Greater China as HRS-7535). In Hengrui’s Phase 3 trial in adults with obesity in China, participants taking HRS-7535 180 mg achieved a mean weight loss of up to 11.1% from baseline at Week 50, based on an ad hoc analysis under the efficacy estimand. The most common TEAEs for participants treated with HRS-7535 (120 mg and 180 mg, respectively) in this trial were nausea (70.3% and 70.0% vs. 16.2% with placebo), vomiting (66.7% and 68.6% vs. 4.5% with placebo) and diarrhea (36.9% and 35.9% vs. 15.3% with placebo). In Hengrui’s Phase 3 trial in adults with T2D in China, HRS-7535 lowered HbA1c by an average of 1.50% to 1.68% across all dose groups (30 mg, 60 mg, 90 mg), based on the efficacy estimand. In both trials, most TEAEs were mild to moderate and gastrointestinal-related. No liver safety signal was observed in either trial, consistent with prior HRS-7535 clinical trials.</w:t>
      </w:r>
    </w:p>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and uncertainties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our inception in May 2024, we have devoted substantially all of our resources to organizing and staffing our company, business planning, raising capital, acquiring intellectual property rights, and conducting research and development activities for our product candidates. We do not have any products approved for sale and have not generated any revenue from any sources, including product sales. Through the issuance of the condensed consolidated financial statements included elsewhere in this Quarterly Report on Form 10-Q, we have funded our operations primarily with proceeds from the sale and issuance of shares of our convertible preferred stock, the issuance of convertible promissory notes, which converted into shares of convertible preferred stock, and the sale and issuance of common stock as part of our initial public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Our net loss was $190.2 million for the six months ended June 30, 2026. As of June 30, 2026, we had an accumulated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deficit of $558.8 million. We expect to continue to incur significant expenses and recognize operating losses for at least the next several years as we advance our product candidates through later stage clinical development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Until such time, if ever, that we can generate product revenue sufficient to achieve profitability, we expect to finance our operations with proceeds from outside sources, with a majority of such proceeds to be derived from sales of equity securities. As we continue to pursue our business plan, we expect to finance our operations through a combination of equity offerings, debt financings, royalty financings or other capital sources, including current or potential future collaborations, licenses, and other similar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$1,171.8 million. We believe that the cash, cash equivalents and marketable securities on hand as of June 30, 2026 will be sufficient to fund our operations into mid-2028. We have based this estimate on assumptions that may prove to be wrong, and we could exhaust our available capital resources sooner than we expect. See “—Liquidity and capital resources.”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consolidated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June 30, 2026, we have not generated revenue from any sources, including product sales, and do not expect to generate any revenue from the sale of products in the near future. If development efforts for our product candidates are successful and result in regulatory approval, we may generate revenue in the future from product sales.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development of our product candidates. These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 benefits, and stock-based compensation expense for employees engaged in research and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related to the Hengrui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the nonclinical and clinical development of our product candidates, including under agreements with third parties, such as consultants and contract research organizations, or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drug products for use in our nonclinical studies and clinical trials, including under agreements with third parties, such as consultants and contract manufacturing organizations, or CMOs;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compliance with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allocated facilities costs, depreciation and other expenses, which include rent and utilities;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expenses incurred as a result of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direct research and development expenses are tracked on a program-by-program basis for our product candidates and consist primarily of external costs, such as fees paid to consultants, contractors, CROs, and CMOs in connection with our nonclinical, clinical and manufacturing development activities. We do not allocate employee costs and costs associated with facilities, including rent and depreciation, or other indirect costs, to specific product candidates because these costs are deployed across multiple product candidates and, as such, are not separately classified. We use internal resources primarily to conduct our research and discovery activities, as well as to manage our nonclinical, clinical and manufacturing development activities. These employees work across multiple product candidates and, therefore, we do not track these costs by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particularly in obesity,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for increased costs related to the development of our product candidates, which were acquired in May 2024, as we conduct our global Phase 3 trials for ribupatide injection which were initiated in December 2025 and January 2026, as well as continue to advance the development of our other product candidates. We also expect to incur additional expenses related to milestone payments payable related to the acquired intellectual property rights to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successful development and commercialization of our product candidates is highly uncertain. At this time, we cannot reasonably estimate or know the nature, timing and costs of the efforts that will be necessary to complete the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outcome and costs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patient enrollment in, and the initiation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and timely delivery of drug formulations that can be used in our clinical trials and for commercial launch;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and changing government regulation;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launching commercial sales of our product candidates, if and when approved, whether alone or in collaboration with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continued acceptable safety profile of the product candidates following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for any of our product candidates. Even if approved, our product candidates may not achieve commercial success.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related benefits, and stock-based compensation expense for personnel in executive, finance, legal, and other administrative functions. General and administrative expenses also include professional fees for legal, patent, consulting, accounting, audit and tax services, information technology costs, and general and administrative allocated rent expense and depreciation.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being a public company.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of interest earned on our cash equivalents and marketable securities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primarily consists of the change in fair value of the preferred stock tranche right liability, convertible promissory notes for which we elected the fair value measurement option, as well as miscellaneous income and expense unrelated to our core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Consolidated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w:t>
      </w:r>
    </w:p>
    <w:p>
      <w:pPr>
        <w:pStyle w:val="TextBody"/>
        <w:bidi w:val="0"/>
        <w:jc w:val="left"/>
        <w:rPr/>
      </w:pPr>
      <w:r>
        <w:rPr/>
        <w:t> </w:t>
      </w:r>
    </w:p>
    <w:tbl>
      <w:tblPr>
        <w:tblW w:w="7459" w:type="dxa"/>
        <w:jc w:val="left"/>
        <w:tblInd w:w="0" w:type="dxa"/>
        <w:tblLayout w:type="fixed"/>
        <w:tblCellMar>
          <w:top w:w="28" w:type="dxa"/>
          <w:left w:w="28" w:type="dxa"/>
          <w:bottom w:w="28" w:type="dxa"/>
          <w:right w:w="28" w:type="dxa"/>
        </w:tblCellMar>
      </w:tblPr>
      <w:tblGrid>
        <w:gridCol w:w="2586"/>
        <w:gridCol w:w="546"/>
        <w:gridCol w:w="211"/>
        <w:gridCol w:w="841"/>
        <w:gridCol w:w="166"/>
        <w:gridCol w:w="146"/>
        <w:gridCol w:w="211"/>
        <w:gridCol w:w="736"/>
        <w:gridCol w:w="166"/>
        <w:gridCol w:w="146"/>
        <w:gridCol w:w="211"/>
        <w:gridCol w:w="736"/>
        <w:gridCol w:w="166"/>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by program for the three months ended June 30, 2026 and 2025 (in thousands):</w:t>
      </w:r>
    </w:p>
    <w:p>
      <w:pPr>
        <w:pStyle w:val="TextBody"/>
        <w:bidi w:val="0"/>
        <w:jc w:val="left"/>
        <w:rPr/>
      </w:pPr>
      <w:r>
        <w:rPr/>
        <w:t> </w:t>
      </w:r>
    </w:p>
    <w:tbl>
      <w:tblPr>
        <w:tblW w:w="9187" w:type="dxa"/>
        <w:jc w:val="left"/>
        <w:tblInd w:w="0" w:type="dxa"/>
        <w:tblLayout w:type="fixed"/>
        <w:tblCellMar>
          <w:top w:w="28" w:type="dxa"/>
          <w:left w:w="28" w:type="dxa"/>
          <w:bottom w:w="28" w:type="dxa"/>
          <w:right w:w="28" w:type="dxa"/>
        </w:tblCellMar>
      </w:tblPr>
      <w:tblGrid>
        <w:gridCol w:w="4861"/>
        <w:gridCol w:w="346"/>
        <w:gridCol w:w="220"/>
        <w:gridCol w:w="815"/>
        <w:gridCol w:w="152"/>
        <w:gridCol w:w="152"/>
        <w:gridCol w:w="220"/>
        <w:gridCol w:w="705"/>
        <w:gridCol w:w="146"/>
        <w:gridCol w:w="146"/>
        <w:gridCol w:w="211"/>
        <w:gridCol w:w="676"/>
        <w:gridCol w:w="146"/>
        <w:gridCol w:w="391"/>
      </w:tblGrid>
      <w:tr>
        <w:trPr/>
        <w:tc>
          <w:tcPr>
            <w:tcW w:w="48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Ribupatide injection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Ribupatide oral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KAI-7535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KAI-4729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101,061</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$81.5 million for the three months ended June 30, 2026, compared to the three months ended June 30, 2025. The increase was primarily driven by product candidate development and the related nonclinical, clinical, and contract manufacturing costs associated with our portfolio of injectable and oral development programs, as well as an increase in headcount, resulting in an increase in personnel-related expenses, including stock-based compensation expense, to support our ongoing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Personnel-related expenses primarily includes salaries, related benefits, and stock-based compensation expense for employees engaged in 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Unallocated research and development expenses and other primarily includes external costs that were not program specific, primarily related to consultant and contractor costs, in addition to research and development allocated rent expense and depreciation.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increased by $9.2 million for the three months ended June 30, 2026, compared to the three months ended June 30, 2025. The increase was primarily driven by the expansion of our operations, resulting in increases in professional service costs and personnel-related expenses, including an increase of $4.6 million in stock-based compensation expenses.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increased by $7.9 million for the three months ended June 30, 2026, compared to the three months ended June 30, 2025. The increase was primarily driven by higher cash equivalents and marketable securities balances.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increased by $0.5 million for the three months ended June 30, 2026, compared to the three months ended June 30, 2025. Other income, net for the three months ended June 30, 2026 primarily consisted of miscellaneous income unrelated to our core operations. Other income, net for the three months ended June 30, 2025 primarily consisted of expense due to the change in fair value of our convertible promissory notes issued in May 2025, partially offset by income due to the change in fair value of the preferred stock tranche right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(in thousands):</w:t>
      </w:r>
    </w:p>
    <w:p>
      <w:pPr>
        <w:pStyle w:val="TextBody"/>
        <w:bidi w:val="0"/>
        <w:jc w:val="both"/>
        <w:rPr/>
      </w:pPr>
      <w:r>
        <w:rPr/>
        <w:t> </w:t>
      </w:r>
    </w:p>
    <w:tbl>
      <w:tblPr>
        <w:tblW w:w="7564" w:type="dxa"/>
        <w:jc w:val="left"/>
        <w:tblInd w:w="0" w:type="dxa"/>
        <w:tblLayout w:type="fixed"/>
        <w:tblCellMar>
          <w:top w:w="28" w:type="dxa"/>
          <w:left w:w="28" w:type="dxa"/>
          <w:bottom w:w="28" w:type="dxa"/>
          <w:right w:w="28" w:type="dxa"/>
        </w:tblCellMar>
      </w:tblPr>
      <w:tblGrid>
        <w:gridCol w:w="2586"/>
        <w:gridCol w:w="546"/>
        <w:gridCol w:w="211"/>
        <w:gridCol w:w="841"/>
        <w:gridCol w:w="166"/>
        <w:gridCol w:w="146"/>
        <w:gridCol w:w="211"/>
        <w:gridCol w:w="736"/>
        <w:gridCol w:w="166"/>
        <w:gridCol w:w="146"/>
        <w:gridCol w:w="211"/>
        <w:gridCol w:w="841"/>
        <w:gridCol w:w="166"/>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by program for the six months ended June 30, 2026 and 2025 (in thousands):</w:t>
      </w:r>
    </w:p>
    <w:p>
      <w:pPr>
        <w:pStyle w:val="TextBody"/>
        <w:bidi w:val="0"/>
        <w:jc w:val="both"/>
        <w:rPr/>
      </w:pPr>
      <w:r>
        <w:rPr/>
        <w:t> </w:t>
      </w:r>
    </w:p>
    <w:tbl>
      <w:tblPr>
        <w:tblW w:w="9199" w:type="dxa"/>
        <w:jc w:val="left"/>
        <w:tblInd w:w="0" w:type="dxa"/>
        <w:tblLayout w:type="fixed"/>
        <w:tblCellMar>
          <w:top w:w="28" w:type="dxa"/>
          <w:left w:w="28" w:type="dxa"/>
          <w:bottom w:w="28" w:type="dxa"/>
          <w:right w:w="28" w:type="dxa"/>
        </w:tblCellMar>
      </w:tblPr>
      <w:tblGrid>
        <w:gridCol w:w="4861"/>
        <w:gridCol w:w="346"/>
        <w:gridCol w:w="211"/>
        <w:gridCol w:w="781"/>
        <w:gridCol w:w="146"/>
        <w:gridCol w:w="146"/>
        <w:gridCol w:w="211"/>
        <w:gridCol w:w="676"/>
        <w:gridCol w:w="146"/>
        <w:gridCol w:w="146"/>
        <w:gridCol w:w="211"/>
        <w:gridCol w:w="781"/>
        <w:gridCol w:w="146"/>
        <w:gridCol w:w="391"/>
      </w:tblGrid>
      <w:tr>
        <w:trPr/>
        <w:tc>
          <w:tcPr>
            <w:tcW w:w="48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Ribupatide injection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Ribupatide oral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KAI-7535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KAI-4729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$142.3 million for the six months ended June 30, 2026, compared to the six months ended June 30, 2025, primarily driven by product candidate development and the related nonclinical, clinical, and contract manufacturing costs associated with our portfolio of injectable and oral development programs, as well as an increase in headcount, resulting in an increase in personnel-related expenses, including stock-based compensation expense, to support our ongoing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Personnel-related expenses primarily includes salaries, related benefits, and stock-based compensation expense for employees engaged in 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Unallocated research and development expenses and other primarily includes external costs that were not program specific, primarily related to consultant and contractor costs, in addition to research and development allocated rent expense and depreciation.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increased by $12.6 million for the six months ended June 30, 2026, compared to the six months ended June 30, 2025. The increase was primarily driven by the expansion of our operations, resulting in increases in professional service costs and personnel-related expenses, including an increase of $6.2 million in stock-based compensation expenses.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increased by $11.9 million for the six months ended June 30, 2026, compared to the six months ended June 30, 2025. The increase was primarily driven by higher cash equivalents and marketable securities balances.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decreased by $0.2 million for the six months ended June 30, 2026, compared to the six months ended June 30, 2025. Other income, net for the six months ended June 30, 2026 primarily consisted of miscellaneous income unrelated to our core operations. Other income, net for the six months ended June 30, 2025 consisted primarily of income due to the change in fair value of the preferred stock tranche right liability, partially offset by expense due to the change in fair value of our convertible promissory notes issued in May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not generated revenue from any sources, including from product sales, and have incurred significant operating losses and negative cash flows from our operations. As of June 30, 2026, we had cash, cash equivalents and marketable securities of $1,171.8 million and an accumulated deficit of $558.8 million. Through June 30, 2026, we have funded our operations primarily with proceeds from the sale and issuance of shares of convertible preferred stock, the issuance of convertible promissory notes, which converted into shares of convertible preferred stock and the sale and issuance of common stock as part of our initial public offering.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 (in thousands):</w:t>
      </w:r>
    </w:p>
    <w:p>
      <w:pPr>
        <w:pStyle w:val="TextBody"/>
        <w:bidi w:val="0"/>
        <w:jc w:val="both"/>
        <w:rPr/>
      </w:pPr>
      <w:r>
        <w:rPr/>
        <w:t> </w:t>
      </w:r>
    </w:p>
    <w:tbl>
      <w:tblPr>
        <w:tblW w:w="8094" w:type="dxa"/>
        <w:jc w:val="left"/>
        <w:tblInd w:w="0" w:type="dxa"/>
        <w:tblLayout w:type="fixed"/>
        <w:tblCellMar>
          <w:top w:w="28" w:type="dxa"/>
          <w:left w:w="28" w:type="dxa"/>
          <w:bottom w:w="28" w:type="dxa"/>
          <w:right w:w="28" w:type="dxa"/>
        </w:tblCellMar>
      </w:tblPr>
      <w:tblGrid>
        <w:gridCol w:w="4941"/>
        <w:gridCol w:w="346"/>
        <w:gridCol w:w="211"/>
        <w:gridCol w:w="841"/>
        <w:gridCol w:w="166"/>
        <w:gridCol w:w="146"/>
        <w:gridCol w:w="211"/>
        <w:gridCol w:w="841"/>
        <w:gridCol w:w="391"/>
      </w:tblGrid>
      <w:tr>
        <w:trPr/>
        <w:tc>
          <w:tcPr>
            <w:tcW w:w="4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operating activities used $145.8 million of cash, cash equivalents and restricted cash, primarily due to our net loss of $190.2 million, offset by a $34.2 million net decrease in our operating assets and liabilities and non-cash charges of $10.1 million. The changes in operating assets and liabilities primarily related to a net increase in accrued expenses and other current liabilities of $24.4 million, a net increase in accounts payable of $11.8 million and a net decrease in other non-current assets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$2.3 million, partially offset by a net increase in non-current clinical deposits of $2.5 million and a net increase in prepaid expenses and other current assets of $1.2 million. Non-cash changes primarily consisted of $12.3 million in stock-based compensation expense, partially offset by $2.9 million in net accretion of discounts on our investment portfolio.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2025, operating activities used $44.4 million of cash, cash equivalents and restricted cash, primarily due to our net loss of $46.9 million, offset by a net decrease of $0.4 million in our operating assets and liabilities and non-cash charges of $2.1 million. The changes in operating assets and liabilities primarily related to a net increase in accrued expenses and other current liabilities of $7.2 million and a net increase in prepaid expenses and other current assets of $6.2 million. Non-cash changes primarily consisted of $3.2 million in stock-based compensation expense and $1.0 million in changes in the fair value of the convertible promissory notes, partially offset by $1.4 million in changes in the fair value of the preferred stock tranche right liability and by $1.0 million in net accretion of discounts on our investment portfolio.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investing activities used $548.2 million in cash, cash equivalents and restricted cash consisting of purchases of investments of $738.3 million, partially offset by maturities of investments of $190.1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investing activities used $128.6 million in cash, cash equivalents and restricted cash consisting of purchases of investments of $136.6 million, partially offset by maturities of investments of $8.0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financing activities provided $664.0 million in cash, cash equivalents and restricted cash consisting of $668.4 million in net proceeds received from the initial public offering after deducting commissions and underwriting discounts, $0.5 million in proceeds from the exercise of stock options, offset by $4.9 million in payments of deferred offering costs related to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financing activities provided $100.0 million in cash, cash equivalents and restricted cash consisting of proceeds from the issuance of convertible promissory notes.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excluding costs related to the acquisition of in-process intellectual property rights, to increase substantially in connection with our ongoing activities, particularly as we advance our product candidates into later stages of development. Our expenses will also increase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global clinical trials for ribupatide injection and KAI-7535;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the development of our other product candidates, including initiating Phase 3 clinical trials for ribupatide oral and initiating a Phase 1 trial for KAI-4729;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in-license or acquire additional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product candidates that successfully complete clinical trials,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and retain additional personnel, such as clinical, quality control, commercial and scientific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infrastructure and facilities to accommodate our growing employee base;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milestone, royalty or other payments due under the Hengrui License Agreement and any future license or 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milestone, royalty, interest or other payments due under any future financing or other arrangements with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legal, compliance, financial and management information systems and personnel to support our operations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cash, cash equivalents and marketable securities on hand as of June 30, 2026 will be sufficient to fund our operations into mid-2028. We have based these estimates on assumptions that may prove to be wrong, and we could utilize our available capital resources sooner than we expect.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that we can generate product revenue sufficient to achieve profitability, we expect to finance our cash needs through a combination of equity offerings, debt financings, royalty financings or other capital sources, including potential future collaborations, licenses, or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royalty financings, collaboration agreements, strategic alliances, licensing arrangements or marketing and distribution arrangements, we may have to relinquish valuable rights to our future revenue streams, research programs or product candidates or grant licenses on terms that may not be favorable to us. We do not currently have any committed external source of funds.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contractual obligations as of June 30, 2026, and the effects that such obligations are expected to have on our liquidity and cash flows in future periods:</w:t>
      </w:r>
    </w:p>
    <w:p>
      <w:pPr>
        <w:pStyle w:val="TextBody"/>
        <w:bidi w:val="0"/>
        <w:jc w:val="left"/>
        <w:rPr/>
      </w:pPr>
      <w:r>
        <w:rPr/>
        <w:t> </w:t>
      </w:r>
    </w:p>
    <w:tbl>
      <w:tblPr>
        <w:tblW w:w="8329"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571"/>
        <w:gridCol w:w="146"/>
        <w:gridCol w:w="146"/>
        <w:gridCol w:w="211"/>
        <w:gridCol w:w="571"/>
        <w:gridCol w:w="146"/>
        <w:gridCol w:w="146"/>
        <w:gridCol w:w="211"/>
        <w:gridCol w:w="571"/>
        <w:gridCol w:w="146"/>
        <w:gridCol w:w="146"/>
        <w:gridCol w:w="235"/>
        <w:gridCol w:w="635"/>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Prior to 2025, we entered into lease agreements for office space located in Waltham, Massachusetts and San Diego, California, both of which were scheduled to expire in 2025 and were classified as operating leases. Each lease contained both fixed and variable lease payments. The lease for the premises in Waltham, Massachusetts included an option to extend the lease term for one six-month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2025, we executed a new, seven-year, non-cancellable operating lease agreement for approximately 39,500 square feet of office space in Waltham, Massachusetts for our corporate headquarters. The lease commenced in October 2025 following completion of construction to prepare the premises for our intended use. The lease provides for base rent of $2.2 million for the first year, which will increase by approximately 2% each year. Our lease payments also include real estate taxes and other operating expenses allocable to the leased premises, which exceed base year amounts. Upon commencement of the lease, future minimum lease payments for the corporate headquarters were $15.9 million. We have the option to extend the lease for one additional five-year term with base rent calculated on the then-market rate. In accordance with the lease agreement, we maintained a letter of credit of $0.8 million, which is refundable at the end of the lease term. As of June 30, 2026, the underlying cash balance collateralizing this letter of credit was classified as restricted cash (non-current) on our condensed consolidated balance sheets based on the release date of the restrictions of this cash. In connection with the new lease agreement, we amended our existing lease in Waltham, Massachusetts to extend the lease term to end shortly after the lease commencement date of our new lease agreement, which occurred in the fourth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CMOs and other third parties for nonclinical, clinical, manufacturing, and other development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pursuant to the Hengrui License Agreement, we are required to make certain milestone, royalty and other payments, which are contingent on the achievement or non-achievement of certain specified events. These payments are not included in the preceding table as the amount and timing of such payments are not known.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and any such difference may be material.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there were no material changes to our critical accounting estimates or in the methodology used for estimates from those described in “Management’s discussion and analysis of financial condition and results of operations” for the year ended December 31, 2025 included in the Prospectus, except as noted below.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stock-based awards issued to employees, non-employees, and members of our board of directors (the “Board”) for their services on the Board, we measure the estimated fair value of the stock-based award on the date of grant and recognize compensation expense for those awards over the requisite service period, which is generally the vesting period of the respective award. We issue stock-based awards with service-based vesting conditions and record the expense for these awards using the straight-line method. We issue performance-based awards and record the expense for these awards over the expected vesting term and recognize expense only if it is probable the performance-based conditions will be achieved. We issue stock-based awards with market-based vesting conditions and recognize expense as the requisite service is rendered by the employee, regardless of when, if ever, the market-based vesting conditions are satisfied. We account for forfeitures as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classify stock-based compensation expense in our condensed consolidated statements of operations and comprehensive loss in the same manner in which the award recipient’s cash compensation costs are classified.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each stock option award with either service-based vesting conditions or performance-based conditions is estimated on the date of grant using the Black-Scholes option pricing model. As there is limited trading history of our common stock, we determined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We have not paid, and do not anticipate paying, cash dividends on our common stock; therefore, the expected dividend yield is assumed to be zero.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each stock option award with market-based vesting conditions is estimated on the date of grant using a Monte Carlo simulation model.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Emerging growth company status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 of 2002. We may take advantage of these exemptions up until the last day of the fiscal year following the fifth anniversary of our initial public offering, or December 31, 2031, or such earlier time that we are no longer an emerging growth company. We would cease to be an emerging growth company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in the rules and regulations of the SEC.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and cash flows is disclosed in Note 2 to our condensed consolidated financial statements appearing elsewhere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are a smaller reporting company, as defined by Rule 12b-2 under the Securities Exchange Act of 1934, as amended, or the Exchange Act, and in Item 10(f)(1) of Regulation S-K, and are not required to provide the information under this item.</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including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Based on such evaluation, our principal executive officer and principal financial officer concluded that as of the end of the period covered by this Quarterly Report on Form 10-Q, our disclosure controls and procedures were effective at the reasonable assurance level.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fiscal quarter ended June 30, 2026 that have materially affected, or are reasonably likely to materially affect, our internal control over financial reporting.</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to be set forth under this Item 1 is incorporated by reference to Note 12—Commitments and Contingencies—Legal proceedings in the notes to the condensed consolidated financial statements included in Part I, Item 1 of this Quarterly Report on Form 10-Q.</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and uncertainties described below and the other information in this Quarterly Report on Form 10-Q, including our financial statements and the related notes and the section titled “Management’s Discussion and Analysis of Financial Condition and Results of Operations,”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Additional risks and uncertainties not presently known to us or that we currently deem immaterial also may impair our business operation. This Quarterly Report on Form 10-Q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Limited Operating History, Financial Position and Capital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a clinical-stage biotechnology company with a limited operating history. We have incurred significant financial losses since our inception and anticipate that we will continue to incur significant financial losses for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We were formed in May 2024 and our operations to date have been limited to pre-commercial activities. All of our current product candidates were initially discovered and initially developed for the Chinese Market by Jiangsu Hengrui Pharmaceuticals Co., Ltd., or Hengrui, which we licensed pursuant to a license and collaboration agreement with Hengrui, or the Hengrui License Agreement, shortly after our formation. We have not yet demonstrated an ability to complete large-scale clinical trials, obtain regulatory approvals, generate revenues, manufacture any product on a commercial scale, or arrange for a third party to do so on our behalf, or conduct sales and marketing activities necessary for successful product commercialization.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we have focused primarily on organizing and staffing our company, business planning, establishing our intellectual property portfolio, raising capital, conducting nonclinical studies and, more recently, clinical trials, and providing general and administrative support for these operations. We have no products approved for commercial sale and have not generated any revenue from product sales to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inception, we have not generated revenue from any sources, including from product sales, are not profitable and have incurred significant operating losses and negative cash flows from our operations. Net losses and negative cash flows have had, and will continue to have, an adverse effect on our stockholders’ equity and working capital. We expect to continue to incur significant losses for the foreseeable future, and we expect these losses to increase as we continue our research and development of, and seek regulatory approvals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global clinical trials for ribupatide injection and ribupatide oral;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the development of our other product candidates, including an ongoing Phase 2 clinical trial for KAI-7535 and initiating a Phase 1 trial for KAI-4729;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our manufacturing strategy to support global scale and long-term continuity;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to in-license or acquire additional product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regulatory and marketing approvals for any product candidates that successfully complete clinical trials,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hire and retain additional personnel, such as clinical, quality control, commercial and scientific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 candidates for which we may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our earlier-stage product candidates into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 our infrastructure and facilities to accommodate our growing employee base;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milestone, royalty or other payments due under the Hengrui License Agreement and any future license or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milestone, royalty, interest or other payments due under any future financing or other arrangements with third parties;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 operational, legal, compliance, financial and management information systems and personnel to support our operations as a public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Pharmaceutical product development entails substantial upfront capital expenditures and significant risks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clinical-stage biotechnology companies such as ours. Any predictions you make about our future success or viability may not be as accurate as they would otherwise be if we had a longer operating history or a history of successfully developing and commercializing pharmaceutical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young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expenses could increase beyond our expectations if we are required by the U.S. Food and Drug Administration, or FDA, or other regulatory authorities to perform clinical trials in addition to those that we currently expect, or if there are any delays in establishing appropriate manufacturing arrangements for, or in completing, our clinical trials or the development of any of our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not generated any revenues to date and may never generate any revenue or become profitable or, if we achieve profitability, we may not be able to sustain 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generate revenue and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and obtaining regulatory approval for one or more of our current or future product candidates, and manufacturing, marketing, and selling any products for which we may obtain regulatory approval. We are in the preliminary stages of only a few of these activities. We may never succeed in these activities and, even if we do, we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pharmaceutical industry. Because of the numerous risks and uncertainties associated with 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 </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require substantial additional capital to finance our operations, and a failure to obtain this necessary capital when needed on acceptable terms, or at all, could force us to delay, limit, reduce or terminate our development programs or commercialization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have consumed substantial amounts of cash since inception. We expect to continue to spend substantial amounts to continue the clinical and nonclinical development of our product candidates, particularly given the capital-intensive nature of obesity clinical trials. We will need to raise additional capital to complete our currently planned clinical trials and any future clinical trials. Other unanticipated costs may arise in the course of our development efforts. If we are able to gain marketing approval for product candidates that we develop, we will require significant additional amounts of funding in order to launch and commercialize such product candidates and will also be required to make certain milestone and royalty payments under the Hengrui License Agreement. We cannot reasonably estimate the actual amounts necessary to successfully complete the development and commercialization of any product candidate we develop, and we may need substantial additional funding to complete the development and commercialization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could use our capital resources sooner than we currently expect, requiring us to seek additional funds sooner than planned, through public or private equity or debt financings or other sources, such as strategic collaborations. Our failure to raise capital or enter into such other arrangements when needed would have a negative impact on our financial condition and could force us to delay, limit, reduce or terminate clinical trials, our research and development programs or other operations, or lead us to grant rights to third parties to develop and market product candidates that we would otherwise prefer to develop and market ourselves. In addition, we may seek additional capital opportunistically due to favorable market conditions or strategic considerations even if we believe we have sufficient funds for our current or future operating plans. Attempting to secure additional financing may divert our management from our day-to-day activities. See “Management’s Discussion and Analysis of Financial Condition and Results of Operations—Liquidity and capital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capital requirements will depend on, and could increase significantly because of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other additional product candidates we may develop and pursue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other additional product candidates we may develop and pursue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receipt of regulatory approval, revenue, if any, received from commercial sales of our product candidates or any other additional product candidates we may develop and pursue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achievement of milestones that trigger payments to Hengrui under the Hengrui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royalty payments due to Hengrui under the Hengrui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license or acquire rights to other products, product candidates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collaboration arrangements for the development of our product candidates on favorable terms, if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and market development and pre-commercial planning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protecting our intellectual property rights, including enforcing and defending intellectual property related claims;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certain that additional funding will be available on acceptable terms, or at all. For instance, the trading prices for other biopharmaceutical companies have been highly volatile. We may face difficulties raising capital through sales of our equity or debt securities or such sales may be on unfavorable terms. Similarly, adverse market or macroeconomic conditions or market volatility resulting from global economic developments, political unrest, high inflation, rising interest rates, future public health epidemics or other factors, could materially and adversely affect our ability to consummate an equity or debt financing on favorable terms,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we expect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programs, and may be unable to expand our operations or otherwise capitalize on our business opportunities, as desired, which could materially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through a combination of equity offerings, debt financings, royalty financings or other capital sources, including potential future collaborations, licenses, or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and anti-dilution protections that could adversely affect your rights as a stockholder. Debt financing and equity financing, if available, may involve agreements that include covenants limiting or restricting our ability to take specific actions, such as incurring additional debt, making capital expenditures or declaring dividends, that could adversely impact our ability to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If we raise additional funds through government and other third-party funding, royalty financings, collaboration agreements, strategic alliances, licensing arrangements or marketing and distribution arrangements, we may have to relinquish valuable rights to our future revenue streams, research programs or drug candidates, or grant licenses on terms that may not be favorable to us. We do not currently have any committed external source of funds.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 obtain funds through arrangements with collaborators on terms unfavorable to us or pursue other strategies, all of which could adversely affect your holdings or you as a stockholder. </w:t>
      </w:r>
    </w:p>
    <w:p>
      <w:pPr>
        <w:pStyle w:val="TextBody"/>
        <w:bidi w:val="0"/>
        <w:spacing w:before="360" w:after="283"/>
        <w:jc w:val="both"/>
        <w:rPr>
          <w:rFonts w:ascii="Times New Roman" w:hAnsi="Times New Roman"/>
          <w:sz w:val="20"/>
        </w:rPr>
      </w:pPr>
      <w:r>
        <w:rPr>
          <w:rFonts w:ascii="Times New Roman" w:hAnsi="Times New Roman"/>
          <w:b/>
          <w:i/>
          <w:color w:val="000000"/>
          <w:sz w:val="20"/>
        </w:rPr>
        <w:t>Our ability to use net operating loss carryforwards and other tax attributes may be limited in connection with our initial public offering or other ownership changes.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substantial losses during our history, do not expect to become profitable in the near future and may never achieve profitability. Our U.S. federal net operating loss, or NOL, carryforwards and other tax attributes are subject to expiration, review and possible adjustment by the Internal Revenue Service, or IRS, and state tax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Section 382 of the U.S. Internal Revenue Code of 1986, as amended, or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our initial public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our initial public offering. If we earn taxable income, such limitations could result in increased future income tax liability to us and our future cash flows could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recorded a full valuation allowance related to our NOL carryforwards and other deferred tax assets due to the uncertainty of the ultimate realization of the future benefits of those assets.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the Development and Regulatory Approval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depend heavily on the success of ribupatide injection and our other product candidates. If we are unable to successfully develop or commercialize ribupatide injection or any other product candidates, or experience significant delays in doing so, we may continue to incur significant financial losses.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invested, and plan to continue to invest, a significant portion of our efforts and financial resources in the development of ribupatide injection, which is currently in a Phase 3 program. Our ability to generate product revenues, which may not occur for several years, if ever, will depend heavily on the successful development and commercialization of ribupatide injection and our other product candidates. The success of our product candidates depends on a number of factors, including, but not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patient enrollment in, and completion, of global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receipt of authorizations to conduct clinical trials and future marketing approvals from applicable regulatory authorities in all the countries where we intend to conduct clinical trials or seek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meet any required post-regulatory approval commitments to applicable regulatory authorities and other post-marketing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supply chain and commercial manufacturing arrangements with third-party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protecting our rights in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sales, marketing and distribution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launching commercial sales of ribupatide injection and our other product candidates, if and when approved, whether alone or in collaboration with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of ribupatide injection and our product candidates, if and when approved, by patients, the medical community and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timely and adequate coverage and reimbursement from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no disruption in supply or lack of sufficient quantities of ribupatide injection and our other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an acceptable safety profile of ribupatide injection and our other product candidates during development and following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Risks and uncertainties related to these factors could cause us to experience significant delays or an inability to successfully commercialize ribupatide injection and our other product candidates, which would materially harm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permitted to commercialize, market, promote or sell any product candidate in the United States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Australia, Canada, the United Kingdom, or UK, the European Union, or EU, or Japan, may have different requirements for regulatory approval, which may require us to conduct additional clinical, nonclinical or chemistry, manufacturing and control studies. To date, we have not submitted a New Drug Application, or NDA, to the FDA or similar drug approval submissions to comparable foreign regulatory authorities for any product candidate. We must complete additional nonclinical studies and clinical trials to demonstrate the safety and efficacy of our product candidates in humans before we will be able to seek or obtain approvals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and future product candidates could fail to receive regulatory approval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such as those in Australia or Japan, may disagree as to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clinical trials or nonclinical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to the FDA or similar submissions to foreign regulatory authorities or to obtain regulatory approval in the United States, the EU or elsewhere;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European Medicines Agency, or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 In addition, even if we were to obtain approval, regulatory authorities may approve any of our product candidates for fewer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 plans.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and foreign regulatory authorities may change their approval policies and new regulations may be enacted. For instance, the EU pharmaceutical legislation has been undergoing a complete review in the context of the Pharmaceutical Strategy for Europe initiative, launched by the European Commission in November 2020. The European Commission introduced legislative proposals in April 2023 that, if adopted, will replace the current regulatory framework in the EU for all medicines (including those for rare diseases and for children). The proposed changes were since discussed and negotiated by the European Parliament and the Council of the EU as part of the EU ordinary legislative process. In April 2024, the European Parliament adopted its position on the legislative proposals and, in June 2025, the Council of the EU adopted its position. A provisional agreement on the text was reached on December 11, 2025. Following positive votes by member states and the European Parliament on the provisional agreement in March 2026, the proposed revisions (affecting the duration of regulatory data protection and market protection, including for orphan medicinal products, revising the eligibility for expedited pathways, etc.) must now be formally adopted by the Ministers of Health in the Employment, Social Policy, Health and Consumer Affairs Council, or EPSCO, and the European Parliament Plenary, currently anticipated in the second half of 2026. The proposed changes are not expected to become applicable before 2028 but may have a significant impact on the pharmaceutical industry and our business in the long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on April 28, 2025, the UK adopted an amendment to the Medicines for Human Use (Clinical Trials) Regulations 2004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(EU) CTR. The amendment will become applicable on April 28, 2026 following a one-year transition period. If we are slow or unable to adapt to changes in existing requirements or the adoption of new requirements or policies governing clinical trials, our development plans may be adversely impacted. </w:t>
      </w:r>
    </w:p>
    <w:p>
      <w:pPr>
        <w:pStyle w:val="TextBody"/>
        <w:bidi w:val="0"/>
        <w:spacing w:before="360" w:after="283"/>
        <w:jc w:val="both"/>
        <w:rPr>
          <w:rFonts w:ascii="Times New Roman" w:hAnsi="Times New Roman"/>
          <w:sz w:val="20"/>
        </w:rPr>
      </w:pPr>
      <w:r>
        <w:rPr>
          <w:rFonts w:ascii="Times New Roman" w:hAnsi="Times New Roman"/>
          <w:b/>
          <w:i/>
          <w:color w:val="000000"/>
          <w:sz w:val="20"/>
        </w:rPr>
        <w:t>The FDA or comparable foreign regulatory authorities may disagree with our regulatory plan for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obtain FDA approval of our product candidates, we must, among other things, demonstrate substantial evidence of the effectiveness of such product candidates. FDA has generally considered this demonstration to require data gathered from two or more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clinical trials prior to granting any regulatory approval. In addition, there is no assurance that the doses, endpoints and trial designs that we intend to use for our planned clinical trials, including those that we have developed based on feedback from the FDA or other regulatory agencies or those that have been used for the approval of similar drugs, will be acceptable for future approvals. For example, while we have designed our Phase 3 program for ribupatide injection after receiving input and feedback from the FDA and other regulatory agencies, there can be no assurance that the design of our planned clinical trials will be satisfactory to such agencies or that such agencies will not require us to modify our trials or conduct additional testing, or that completing these trials will result in regulatory approval. For instance, in connection with their review of our KaiNETIC Phase 3 program, regulatory agencies, particularly those outside of the U.S., may disagree with elements of our clinical trial design, including dose selection and control arms, and utilization of data collected outside of the applicable territory. While we plan to initiate global Phase 3 trials of ribupatide oral as early as the first half of 2027, our plans are subject to discussions with regulatory agencies, including the FDA. We are not currently planning to conduct a global Phase 2 dose-ranging trial or Phase 1 pharmacokinetic bridging trial for ribupatide oral prior to commencing global Phase 3 clinical trials.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other regulatory agencies may disagree with our clinical development strategy or the designs of our proposed Phase 3 trials for ribupatide oral, including but not limited to dose selection, sample size and utilization of data collected outside of the applicable territory. Even if our Phase 3 clinical trials achieve their primary endpoint, there can be no assurance that the FDA and other regulatory agencies will find them sufficient to support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clinical trial results may not support approval of our product candidates. In addition, our product candidates could fail to receive regulatory approval, or regulatory approval could be delayed,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not file or accept our NDAs or marketing application for substantive review;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dosing regimen,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our product candidates are safe and effective for any of their proposed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clinical trials may not meet the level of statistical significance required by the FDA or comparable foreign regulatory authorities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our product candidates’ clinical and other benefits outweigh their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our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the satisfaction of the FDA or comparable foreign regulatory authorities to support the submission of an NDA or other comparable submission in foreign jurisdictions or to obtain regulatory approval in the United States or elsewhere;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360" w:after="283"/>
        <w:jc w:val="both"/>
        <w:rPr>
          <w:rFonts w:ascii="Times New Roman" w:hAnsi="Times New Roman"/>
          <w:sz w:val="20"/>
        </w:rPr>
      </w:pPr>
      <w:r>
        <w:rPr>
          <w:rFonts w:ascii="Times New Roman" w:hAnsi="Times New Roman"/>
          <w:b/>
          <w:i/>
          <w:color w:val="000000"/>
          <w:sz w:val="20"/>
        </w:rPr>
        <w:t>Clinical and nonclinical development involves a lengthy and expensive process with an uncertain outcome, and the results of prior clinical trials and studies involving our product candidates are not necessarily predictive of our future results. Our product candidates may not show favorable results in nonclinical studies or clinical trials or receive regulatory approval on a timely basis, if at 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Pharmaceutical development is expensive and can take many years to complete, and its outcome is inherently uncertain. We cannot guarantee that any clinical trials or nonclinical studies will be conducted as planned, including whether we are able to meet expected timeframes for data readouts, or completed on schedule, if at all, and failure can occur at any time during the trial or study process, including due to factors that are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current or future product candidates in later stages of clinical trials may fail to show the desired characteristics despite having progressed through nonclinical studies and initial clinical trials. The results from nonclinical studies or clinical trials of any of our current and future product candidates, or a competitor’s product candidate in the same class, may not predict the results of later clinical trials of any of our current or future product candidates. It is not uncommon to observe results in clinical trials that are unexpected based on nonclinical studies and early clinical trials, and many product candidates fail in later stage clinical trials despite very promising early results. In addition, we do not know whether ribupatide injection will demonstrate weight loss similar to that seen in clinical trials conducted in China by Hengrui. In particular, most of the ribupatide injection clinical data that has been generated to date has been in Chinese patient cohorts based on a maximum dose of 8 mg, however, in our ongoing Phase 3 program of ribupatide injection, we intend to study a dosing regimen of up to 10 mg in populations outside of China. We have limited information as to whether the new dosing regimen will result in a favorable balance between weight loss and tolerability profile and cannot guarantee that we will not need to further optimize the ribupatide injection dosing regimen in the future.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subgroup is overrepresented in the clinical trial. There can be no assurance that we will not suffer similar setbacks despite the data we observed in earlier or ongoing studies. For example, if a higher-than-expected number of patients drop out of clinical trials prior to completion either as a result of their failure to lose weight on placebo or as a result of side effects on an active arm, we may experience difficulties completing trials with adequate numbers of patients to generate sufficient data to support a marketing application. Moreover, nonclinical and clinical data may be susceptible to varying interpretations and analyses. Because ribupatide injection and ribupatide oral are based on the same peptide, if ribupatide injection does not show safety or efficacy in clinical trials, it may negatively impact the development of ribupatide oral, and vice versa. Based upon negative or inconclusive results, we or any current or any future collaborator may decide, or regulators may require us, to conduct additional nonclinical studies or clinical trials, which would cause us to incur additional operating expenses and delays and may not be sufficient to support regulatory approval on a timely basis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foregoing reasons, we cannot be certain that our ongoing and planned clinical trials and nonclinical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and nonclinical studies, which is based on a preliminary analysis of then-available data, and the results and related findings and conclusions are subject to change following a more comprehensive review of the data related to the particular study or trial. We may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In addition, clinical trials with smaller sample sizes can be disproportionately influenced by various biases associated with clinical trial conduct, which limits the ability to generalize the results across a broader population, making the clinical trial results less likely to be replicated than clinical trials with a larger number of patients. For example, in our planned global Phase 3 trials for ribupatide oral, we plan to enroll a larger number of participants than were enrolled in the Phase 2 clinical trial conducted by Hengrui and may not be able to replicate the weight loss seen in the prior Hengrui Phase 2 trial. Further, disclosure of interim data by us or by our competitors could result in volatility in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reached, our ability to obtain approval for and commercialize any of our current or future product candidates may be harmed, which could harm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Any difficulties or delays in the commencement or completion, or the termination or suspension, of our current or planned clinical trials or nonclinical studies could result in increased costs to us, delay or limit our ability to receive approval for and commercialize any product candidates and generate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obtaining approval from regulatory authorities for the sale of any of our current or future product candidates, we must conduct extensive nonclinical studies and clinical trials to demonstrate the safety and efficacy (for small molecule drugs) or safety, purity, and potency (for biologics) of our product candidates. In addition, before we can initiate clinical development for any future nonclinical product candidates, we must submit the results of nonclinical studies to the FDA or comparable foreign regulatory authorities along with other information, including information about product candidate chemistry, manufacturing, and controls, and our proposed clinical trial protocol, as part of an Investigational New Drug, or IND, application, or similar regulatory submission to foreign regulatory authorities for clinical trials outside of the United States. The FDA or comparable foreign regulatory authorities may require us to conduct additional nonclinical studies for any future product candidates before it allows us to initiate clinical trials under any IND or similar foreign regulatory submission, which may lead to delays or increase the costs of developing future product candidates. Moreover, issues may arise that could cause regulatory authorities to suspend or terminate our ongoing or planned clinical trials. Any such delays in the commencement or completion, or the termination or suspension, of our ongoing and planned clinical trials or nonclinical studies could significantly affect our product development timelines and product development costs. We do not know whether our planned clinical trials or nonclinical studies will begin on time or if our ongoing or future trials or studies will be completed on schedule, if at all. The commencement, data readouts and completion of clinical trials and nonclinical studies can be delayed for a number of reasons, including delays related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inability to obtain animals or materials to initiate and generate sufficient nonclinical, toxicology, or other in vitro data to support the initiation or continuation of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non-acceptance of nonclinical or clinical data generated in China by Hengrui;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authorization from regulatory authorities to commence a clinical trial or reaching a consensus with regulatory authorities on trial design;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disagreeing as to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failure or delay in reaching an agreement with contract research organizations, or CROs, and clinical trial sites, the terms of which can be subject to extensive negotiation and may vary significantly among different CROs and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approval from one or more institutional review boards, or IRBs, or ethics committees, or ECs, at clinical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IRBs/ECs refusing to approve, suspending, or terminating the trial at an investigational site, precluding enrollment of additional patients, or withdrawing their approval of the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to the clinical trial protocol;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sites deviating from the trial protocol or dropping out of a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by our CROs to perform in accordance with Good Clinical Practice, or GCP, requirements or applicable regulatory requirements or guidelines in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sufficient quantities of any of our current or future product candidates, including in respect of any combination product candidates, and related raw materials or obtaining sufficient quantities of other materials needed for use in clinical trials and nonclinical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failing to enroll or remain in our trials at the rate we expect, or failing to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choosing alternative treatments for the indications for which we are developing any of our current or future product candidates, or participating in competing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lack of adequate funding to continue the clinical trials or nonclinical studies or costs being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experiencing severe or serious unexpected drug-related adverse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companies that could be considered similar to any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extended analysis of the resulting data;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third-party manufacturers, delays or failure by our third-party manufacturers or us to make any necessary changes to such manufacturing process, or failure of such third-party manufacturers to produce clinical trial materials in accordance with current Good Manufacturing Practices, or cGMPs, regulations or other applicable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being unwilling or unable to satisfy their contractual obligations in a timely manner;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third-party actions claiming infringement by our product candidates in clinical trials outside the United States and obtaining injunctions interfering with our progress;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wildfires, or disease.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we and Hengrui are currently conducting, and we, Hengrui and any future collaborators may in the future conduct, clinical trials in foreign countries, which presents additional risks that may delay completion of our clinical trials. For example, Hengrui is currently conducting clinical trials in China.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relevant to such foreign countries, including war. See “Risks Related to the Development and Regulatory Approval of Our Product Candidates—We currently, and may in the future, conduct certain of our clinical trials for our product candidates outside of the United States. However, the FDA and foreign regulatory authorities may not accept data from such trials, which could materially harm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any of our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 factors that cause, or lead to, the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any of our current or future product candidates. In such cases, our competitors may be able to bring products to market before we do, and the commercial viability of any of our current or future product candidates could be significantly reduced. Any of these occurrences may harm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As an organization, we have never completed late-stage clinical trials or submitted an NDA, and may be unable to do so for any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successfully complete clinical development, including late-stage clinical trials, in order to obtain FDA or comparable regulatory authority approval to market ribupatide injection or any future product candidates. Carrying out late-stage clinical trials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submission of a successful NDA is a complicated process. As an organization, we are in the process of conducting Phase 3 clinical trials for ribupatide injection and have not yet completed any late-stage clinical trials for ribupatide injection or any other current and future product candidates. We have limited experience as a company in preparing, submitting and prosecuting regulatory filings and have not previously submitted an NDA or other comparable foreign regulatory submission for any product candidate. We also plan to conduct a number of clinical trials for multiple product candidates in parallel over the next several years. This may be a difficult process to manage with our limited resources. In addition, we have had limited interactions with the FDA and cannot be certain how the FDA or comparable foreign regulatory authorities will require such trials to be designed. Consequently, we may be unable to successfully and efficiently execute and complete necessary clinical trials in a way that supports a successful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NDAs for and commercializing our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product candidates proceed through nonclinical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For instance, we are seeking to develop alternative synthesis strategies for certain of our peptide product candidates and conduct formulation development on certain of our oral product candidates.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when we make formulation or manufacturing changes to any of our current or future product candidates, we may need to conduct additional nonclinical studies or clinical trials to bridge our current versions of any of our current or future product candidates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and we could be required to perform additional testing, which could delay our programs. For example, in future studies of ribupatide injection, we currently plan to utilize materials produced by a different third-party manufacturer than the third-party manufacturer that produced ribupatide injection in prior studies and that are formulated as autoinjectors and/or multi-use pens rather than the pre-filled syringes used in prior studies of ribupatide injection, and we may be unable to demonstrate full comparability between lots produced by our current manufacturer and any future supplier. As a result, we may be required to gather additional data before we are able to submit a marketing application for ribupatide injection or any of our other current or future product candidates, if ever. Any delay of clinical trials, the repetition of one or more clinical trials, increases in clinical trial costs or delays in approval of our product candidates could jeopardize our ability to commence sales and generate revenue, if approved.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find it difficult to enroll patients in our clinical trials. If we encounter difficulties or delays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and timely completion of clinical trials will require that we identify and enroll a specified and sufficient number of eligible patients to participate and remain in the trial until its conclusion for each of our clinical trials. We may not be able to initiate or continue certain clinical trials if we are unable to identify and enroll a sufficient number of eligible patients to participate in these trials as required by the FDA or comparable foreign regulatory authorities outside the United States. Patient enrollment, a significant factor in the timing of clinical trials, is affected by many factors, including the size and characteristics of the patient population, the process for identifying patients, the proximity and availability of clinical trial sites for prospective patients, the inclusion and exclusion criteria for the trial, the design of the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obtain and maintain patient consent for each patient enrolled,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other pharmaceutical companies targeting obesity are recruiting clinical trial patients from these patient populations, which may make it more difficult to fully enroll our clinical trials. Our clinical trials will compete with marketed products that are available for use in the same disease areas as our product candidates, and other clinical trials for investigational product candidates in the same disease areas as our product candidates. This competition could reduce the number and types of patients available to us, because some patients who might have opted to enroll in our clinical trials may instead opt to receive an approved therapy or enroll in a trial being conducted by one of our competitors. The timing of our clinical trials depends, in part, on the speed at which we can recruit patients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participate in our trials, as well as completion of required follow-up periods. Moreover, the changing clinical trial landscape in obesity, with increased availability of marketed or compounded obesity management medications that are contraindicated in our clinical trials, may make patient recruitment and retention more difficult.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any of our current or future product candidates may be delayed. Our inability to enroll a sufficient number of patients for any of our future clinical trials would result in significant delays or may require us to abandon one or more clinical trials altogether.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rely on, and will continue to rely on, CROs and clinical trial sites to ensure proper and timely conduct of our clinical trials and nonclinical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 </w:t>
      </w:r>
    </w:p>
    <w:p>
      <w:pPr>
        <w:pStyle w:val="TextBody"/>
        <w:bidi w:val="0"/>
        <w:spacing w:before="360" w:after="283"/>
        <w:jc w:val="both"/>
        <w:rPr>
          <w:rFonts w:ascii="Times New Roman" w:hAnsi="Times New Roman"/>
          <w:sz w:val="20"/>
        </w:rPr>
      </w:pPr>
      <w:r>
        <w:rPr>
          <w:rFonts w:ascii="Times New Roman" w:hAnsi="Times New Roman"/>
          <w:b/>
          <w:i/>
          <w:color w:val="000000"/>
          <w:sz w:val="20"/>
        </w:rPr>
        <w:t>Use of any of our current or future product candidates could be associated with side effects, adverse events or other properties or safety risks, which could delay or preclude regulatory approval, cause us to suspend or discontinue clinical trials, abandon any of our current or future product candidates, limit the commercial profile of an approved label or result in other significant negative consequences that could severely harm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our, Hengrui’s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or IRBs to interrupt, delay or halt clinical trials and could result in a more restrictive label, or lead to the delay or denial of regulatory approval by the FDA or comparable foreign regulatory authorities. For example, in clinical trials of ribupatide injection conducted to date, drug-related adverse events including nausea, vomiting, diarrhea and alopecia have been observed. These and any other drug-related side effects could affect patient recruitment or the ability of enrolled patients to complete the trials, lead to poor data, or result in potential product liability claims. Any of these occurrences may harm our business, financial condition, results of operations and prospects significantly.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if any of our current or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Additionally, adverse developments in clinical trials of product candidates conducted by others or adverse events associated with commercial products offered by others may cause the FDA or other regulatory oversight bodies to suspend or terminate our clinical trials or change the requirements for approval of any of our product candidates, or otherwise adversely affect the clinical and commercial development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also be required to modify our development and clinical trial plans based on findings in our ongoing clinical trials or concerns of the FDA or other regulatory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as we, Hengrui or any future collaborators test any of our current or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study any of our current or future product candidates in combination with other therapies, which may exacerbate adverse events associated with such product candidate. If significant adverse events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if any of our product candidates receives regulatory approval, and we or others later identify undesirable side effects caused by such product, a number of potentially significant negative consequences could result. For example, the FDA could require us to adopt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Hengrui or our future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IRBs, ECs, or safety monitoring committees may recommend that enrollment or dosing be placed on hold or that additional safety measures be implemented for ongoing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suspend marketing of a product, or we may decide to remove such product from the marketplace;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withdraw or change their approvals of a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additional warnings or contraindications on the label or limit access of a product to selective specialized centers with additional safety reporting and with requirements that patients be geographically close to these centers for all or part of their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a product for patients, or to conduct post-marketing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change the way a product is dosed, distributed, or administered, or conduct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subject to fines, injunctions, or the imposition of criminal or civil penalties, or be sued and held liable for harm caused to subjects or patients;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may become less competitive, and our reputation may suffer.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current or future product candidates receive regulatory approval, they may be subject to stringent labeling requirements, including the potential imposition of a boxed warning. A boxed warning, also known as a “Black Box” warning, is ordinarily used to highlight for prescribers one of the following situations: (1) There is an adverse reaction so serious in proportion to the potential benefit from the drug (e.g., a fatal, life threatening or permanently disabling adverse reaction) that it is essential that it be considered in assessing the risks and benefits of using the drug; (2) or there is a serious adverse reaction that can be prevented or reduced in frequency or severity by appropriate use of the drug (e.g., patient selection, careful monitoring, avoiding certain concomitant therapy, addition of another drug or managing patients in a specific manner, avoiding use in a specific clinical situation); or (3) FDA approved the drug with restrictions to ensure safe use because the FDA concluded that the drug can be safely used only if distribution or use is restricted.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has required the full prescribing information of approved GLP-1 obesity management medications, such as Wegovy and Zepbound, to carry a boxed warning regarding the risk of thyroid C-cell tumors. The boxed warnings state that semaglutide and tirzepatide, the active ingredients in Wegovy and Zepbound, respectively, cause thyroid C-cell tumors in rodents, but that it is unknown whether Wegovy and Zepbound cause thyroid C-cell tumors in humans. The boxed warnings for both drugs also indicate that they are contraindicated in patients with a personal or family history of medullary thyroid carcinoma or in patients with multiple endocrine neoplasia syndrome type 2. We expect that the label of our GLP-1 monotherapy or any future GLP-1 combination product candidates we may develop, if approved, may carry similar warnings.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requires us to include a boxed warning in the prescribing information of any of our current or future product candidates, the inclusion of the boxed warning could adversely affect the market acceptance and commercial success of any of our current or future product candidates. The inclusion of a boxed warning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competitors who are developing products in the obesity management medication field or that utilize a similar mechanism of action as us may experience problems with their products that could indicate or result in class-wide problems or additional requirements that would potentially harm our business. For example, in January 2024, the FDA announced that it was evaluating reports of suicidal thoughts or actions in patients treated with GLP-1 receptor agonists. While the FDA ultimately did not find any association between use of GLP-1 receptor agonists and the occurrence of suicidal thoughts or actions, it did recommend that physicians prescribing GLP-1 receptor agonists should monitor their patients for and advise patients using GLP-1 receptor agonists to report new or worsening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depression, suicidal thoughts, or any unusual changes in mood or behavior. Were an association between GLP-1 receptor agonists and suicidal thoughts or actions to be found in the future as additional data become available or other class-wide issues to arise, the FDA may impose additional requirements for product candidates seeking approval or impose labeling requirements the inclusion of which could adversely affect the market acceptance and commercial success of any of our current or future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We currently, and may in the future, conduct certain of our clinical trials for our product candidates outside of the United States. However, the FDA and foreign regulatory authorities may not accept data from such trials, which could materially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Hengrui are currently conducting, and we, Hengrui and any future collaborators may in the future conduct clinical trials for any of our current or future product candidates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For instance, for nonclinical studies submitted to the European Medicines Agency, or EMA, particularly those supporting marketing applications in Europe, China-based testing facilities must adhere to the Organisation for Economic Co-operation and Development, or OECD, Principles of GLP and be part of the OECD Mutual Acceptance of Data system for data to be accepted.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For example, the data generated by Hengrui on our product candidates in China may not be acceptable to the FDA or other regulatory authorities. In April 2026, the House Appropriations Committee issued a draft, non-binding report accompanying its proposed Fiscal Year 2027 Agriculture, Rural Development, Food and Drug Administration, and Related Agencies Appropriations Act that would bar FDA from accepting, reviewing, or considering any covered clinical data generated by a clinical investigation site in China, Russia, Iran or North Korea in support of an IND, including any amendment or supplement thereto. If the FDA or any comparable foreign regulatory authority does not accept such data from our clinical trials of any of our current or future product candidates, we would need to conduct additional trials, which could be costly and time-consuming, and which may not ultimately support approval in the applicable jurisdiction. Conducting clinical trials outside the United States also exposes us to additional risks, including risks associated with: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inconsistent standards for reporting and evaluating clinical data and adverse events;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diminished protection of intellectual property in some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 health concerns or political instability, civil unrest, war or similar events that may jeopardize our ability to commence, conduct or complete a clinical trial and evaluate resulting data. </w:t>
      </w:r>
    </w:p>
    <w:p>
      <w:pPr>
        <w:pStyle w:val="TextBody"/>
        <w:bidi w:val="0"/>
        <w:spacing w:before="360" w:after="283"/>
        <w:jc w:val="both"/>
        <w:rPr>
          <w:rFonts w:ascii="Times New Roman" w:hAnsi="Times New Roman"/>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growth may depend, in part, on our ability to develop and commercialize any of our current or future product candidates in foreign markets. We are not permitted to market or promote any of our current or future product candidates before we receive regulatory approval from applicable regulatory authorities in foreign markets, and we may never receive such regulatory approvals for any of our current or future product candidates. To obtain separate regulatory approval in many other countries we must comply with numerous and varying regulatory requirements regarding safety and efficacy and governing, among other things, clinical trials, commercial sales, pricing and distribution of any of our current or future product candidates. Approval procedures may be more onerous than those in the United States and may require that we conduct additional nonclinical studies or clinical trials. If we obtain regulatory approval of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our current or future product candidates and ultimately commercialize our products in foreign markets, we would be subject to additional risks and uncertainties,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different regulatory requirements for approval of drugs in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existence of additional third-party patent rights of potential relevance to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export control and import laws and regulations and changes in tariffs, trade barriers and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in countries where labor unrest is common;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public health pandemics or epidemics, or natural disasters including earthquakes, typhoons, floods and fires.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is subject to the risks associated with having a collaboration partner located in China.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our collaboration with Hengrui, located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collaborate with an entity located in China, our business is subject to the risks associated with having a collaboration partner located in China,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political and economic conditions, particularly those potentially negatively affecting the trade relationship between the United States and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protection measures, such as tariff increases, and import and export licensing and control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potentially negative consequences from changes in tax laws;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associated with the Chinese legal system, including increased costs and uncertainties associated with enforcing contractual obligations in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lower protection of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relating to China’s data security rules and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relating to China personal information protection laws;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and volatility in currency exchange rates;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unexpected or unfavorable changes in regulatory requirements;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in managing foreign relationships and operations generally.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possibility of product supply disruption and increased costs in the event of changes in the policies of the U.S. or Chinese governments, political unrest or unstable economic conditions in China. New legislation, regulations or court decisions may impede, delay, limit, or increase the cost of manufacturing our therapeutic candidates. Such events could result in our clinical or commercial supply of drug being interrupted or limited, which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Changes in U.S. and international trade policies, particularly with respect to China, may adversely impact our business and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government has recently made statements and taken certain actions that may lead to potential changes to U.S. and international trade policies, including imposing several rounds of tariffs and export control restrictions affecting certain products manufactured in China, and most recently, proposing legislation that, if enacted would restrict trade with certain Chinese companies that provide biopharmaceutical research, development, and manufacturing services. Recently both China and the United States have each imposed tariffs indicating the potential for further trade barriers. In addition, in the past the U.S. Commerce Department has implemented export controls adding numerous Chinese entities to its “unverified list,” which requires U.S. exporters to go through more procedures before exporting goods to such entities. It is unknown whether and to what extent new tariffs, export controls, trade restrictions, or other new laws or regulations will be adopted, or the effect that any such actions would have on us or our industry. Sustained uncertainty about, or the further escalation of, trade and political tensions between the United States and China could result in a disadvantageous research and manufacturing environment in China, particularly for U.S. based companies, including retaliatory restrictions that hinder or potentially inhibit our ability to rely on manufacturing partners and other service providers that operate in China. For example, proposed legislation has been introduced in Congress that could prohibit, among other things, the use of U.S. government executive agency contract, grant, or loan funding to procure or obtain, or enter into, extend or renew contracts involving the use of certain equipment or services produced or provided by certain Chinese companies which could cause us to reevaluate our relationship with certain of our existing manufacturing partners, including Hengrui.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Hengrui, some of our other suppliers, vendors and service providers are located in China. Trade tensions and conflicts between the United States and China have been escalating in recent years and, as such, we are exposed to the possibility of supply disruptions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Additionally, third parties may voluntarily require compliance or supply chain requirements that go above and beyond potential legislation to address perceived risk of “pass through,” which would make it difficult for us to operate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we or some of our contractual counterparties, including Hengrui, could be impacted by the legislation described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unfavorable government policies on international trade, such as export controls, capital controls or tariffs, may increase the cost of manufacturing our product candidates and materials, affect the demand for our drug products (if and once approved), the competitive position of our product candidates, and import or export of raw materials and finished product candidate used in our, Hengrui’s and our future collaborators’ nonclinical studies and clinical trials, particularly with respect to any product candidates and materials that we import from China, including pursuant to the Hengrui License Agreement.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Even if we or our collaborators obtain approval for any of our product candidates in one jurisdiction, we may never obtain approval for or commercialize such candidates in any other jurisdiction, which would limit our ability to realize their full market potential.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For example, ribupatide injection (being developed as HRS9531 by Hengrui) is currently the subject of a pending NDA in China that has been submitted by Hengrui. If Hengrui fails to obtain approval for ribupatide injection in China, it could negatively impact our ability to obtain approval in the United States or any other jurisdiction. In addition, regulatory approval in one country does not guarantee regulatory approval in any other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Approval processes vary among countries and can involve additional product testing and validation, as well as additional administrative review periods. Seeking foreign regulatory approval could result in difficulties and increased costs for us and require additional nonclinical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product candidates are ultimately regulated as biologics rather than as drugs, we would be required to pursue approval under a different statutory framework than our current plans contemplate, which could delay development, increase costs, alter market exclusivity and competition dynamics,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developing our product candidates with the expectation of seeking FDA approval through NDAs. There is, however, ongoing litigation challenging whether certain similar products should be regulated as drugs or biologics. The outcome of this litigation could affect how products with attributes comparable to our product candidates are classified. If that litigation, or related FDA actions, result in a determination that product candidates like ours must be regulated as biologics, we could be required to pursue approval via biologics license applications, or BLAs, under the Public Health Service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change in classification would subject our programs to a different and potentially more burdensome regulatory framework. Among other things, the biologics pathway can entail distinct and complex chemistry, manufacturing, and controls requirements, including expectations around process validation, comparability, and lot-to-lot consistency; expanded facility inspections; differences in quality system requirements; product-specific potency assays; and, potentially, additional nonclinical or clinical data to support a demonstration of safety, purity, and potency. Reclassification could necessitate redesign of our manufacturing processes (for example, to align with biologics quality standards), redevelopment or revalidation of analytical methods, new or supplemental bridging studies, and changes to our clinical development plans. It could also require us to engage different specialized contract manufacturers or to build or qualify new internal capabilities. Any of these changes could materially delay our timelines and substantially increase our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Market entry and competition dynamics would also differ. If approved as biologics, our product candidates’ period of reference product exclusivity, biosimilar and interchangeable product competition, and related patent litigation procedures would be governed by the Biologics Price Competition and Innovation Act rather than the generic drug framework under the Drug Price Competition and Patent Term Restoration Act of 1984. While biologics may be eligible for a different statutory regulatory exclusivity period than drugs, the biosimilar and interchangeability standards, naming conventions, and substitution rules are distinct from those applicable to generic drugs approved under abbreviated new drug applications. These differences could change the timing, nature, and intensity of post-approval competition, and affect our pricing and market access strategies.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designed our development, regulatory, and manufacturing strategies based on our current understanding that our product candidates will be regulated as drugs subject to the NDA pathway. If FDA were to require that we instead pursue BLAs, we may experience substantial delays to our development programs; incur significant, unplanned costs; need to repeat or augment nonclinical or clinical studies; requalify or replace manufacturing sites and suppliers; and modify our commercial plans. We may also face uncertainty while the scope and implications of any reclassification are implemented by FDA, including how existing guidance, review practices, and user fee commitments apply. Any of these outcomes could adversely affect our ability to obtain timely approval, our competitive position, our potential market opportunity, and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Additional time may be required to obtain marketing authorizations for any product candidates that we develop as drug-device combination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current injectable product candidates will be regulated as combination products, as our therapeutic candidates will be administered by the patient using a disposable injector device (pre-filled syringe, autoinjector and/or multi-use pen) marketed together with the therapeutic candidate, if approved. Development of a product candidate as a combination product candidate requires close coordination within the FDA and within comparable regulatory agencies for review of each of the drug and device components that comprise the product and would typically be reviewed by different centers within the FDA if offered for use as standalone products. For example, the FDA’s review of a marketing application for a drug-device combination that has a primary mode of action as a drug would likely be subject to an NDA with the Center for Drug Evaluation and Research as the lead center, with coordination with the Center for Devices and Radiological Health for the review of the device component. Although the FDA and comparable foreign agencies have or may have systems in place for the review and approval of such combination products, we may experience additional delays in the development and commercialization of such product candidates due to regulatory timing constraints and uncertainties in the product development and approval process. Furthermore, regulatory bodies like the FDA may require a human factors study, also sometimes referred to as a usability study, to evaluate how people interact with drug-device combination products in real-world settings to ensure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they can be used safely and effectively, and the requirement to conduct a human factors study may delay or prevent approval of a drug-device combination product. Moreover, although we anticipate that the device component of any combination product candidates we develop will be reviewed within the usual time frames expected for the marketing authorization application for underlying therapeutic candidate,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include—where available—the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 </w:t>
      </w:r>
    </w:p>
    <w:p>
      <w:pPr>
        <w:pStyle w:val="TextBody"/>
        <w:bidi w:val="0"/>
        <w:spacing w:before="360" w:after="283"/>
        <w:jc w:val="both"/>
        <w:rPr>
          <w:rFonts w:ascii="Times New Roman" w:hAnsi="Times New Roman"/>
          <w:sz w:val="20"/>
        </w:rPr>
      </w:pPr>
      <w:r>
        <w:rPr>
          <w:rFonts w:ascii="Times New Roman" w:hAnsi="Times New Roman"/>
          <w:b/>
          <w:i/>
          <w:color w:val="000000"/>
          <w:sz w:val="20"/>
        </w:rPr>
        <w:t>Even if we receive regulatory approval for any product candidate, we will be subject to ongoing regulatory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any regulatory approvals that we may receive for our product candidates, the manufacturing processes, labeling, packaging, distribution, adverse event reporting, storage, advertising, promotion, sampling, import, export and recordkeeping for our product candidates will be subject to extensive and ongoing regulatory requirements. These requirements include submissions of safety and other post-marketing information and reports, registration, including both federal and state requirements in the United States and requirements of comparable foreign regulatory authorities, as well as ongoing compliance with cGMPs and GCPs for any clinical trials. The holder of an NDA also must submit supplemental applications and obtain prior approval for certain changes to the approved product, product labeling, or manufacturing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Manufacturers of drug products and their facilities are subject to continual review and periodic, unannounced inspections by the FDA and other regulatory authorities for compliance with cGMPs and other applicable regulations and standards. Accordingly, we will need to continue to expend time, money, and effort in all areas of regulatory compliance, including manufacturing, production, and quality control.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This may also result in revisions to the approved labeling to add new safety information, imposition of post-marketing studies or clinical trials to assess new safety risks, or imposition of distribution restrictions or other restrictions under a REMS program. In addition, failure to comply with FDA and other comparable foreign regulatory requirements may subject our company to administrative or judicially imposed sanctions,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product distribution or use, or requirements to conduct post-marketing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restitutions, disgorgement of profits or revenues, warning letters, untitled letters or holds on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submitted, or suspension or revocation of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revisions to the labeling, including limitations of use or requirements for additional warnings, contraindications, or other safety information, including boxed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seizures or detentions, or refusal to permit the import or export of our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promulgated that could prevent, limit or delay marketing authorization of any product candidates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360" w:after="283"/>
        <w:jc w:val="both"/>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and other regulatory agencies strictly regulate marketing, labeling, advertising, and the promotional claims that may be made about prescription products, such as any of our current or future product candidates, if approved. In particular, a product may not be promoted for uses that are not approved by the FDA or other regulatory agencies as reflected in the product’s approved labeling. If we receive regulatory approval for any of our current or future product candidates,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some patients in varied circumstances. The FDA does not regulate the behavior of physicians in their choice of treatments. Companies may share truthful and not misleading information that is otherwise consistent with a product’s FDA-approved labeling, but the FDA does, however, restrict a manufacturer’s communications about off-label use of their products. Similar requirements apply in foreign jurisdictions.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any of our current or future product candidates, if approved, we could become subject to significant liability, which would materially adversely affect our business and financial condition. </w:t>
      </w:r>
    </w:p>
    <w:p>
      <w:pPr>
        <w:pStyle w:val="TextBody"/>
        <w:bidi w:val="0"/>
        <w:spacing w:before="360" w:after="283"/>
        <w:jc w:val="both"/>
        <w:rPr>
          <w:rFonts w:ascii="Times New Roman" w:hAnsi="Times New Roman"/>
          <w:sz w:val="20"/>
        </w:rPr>
      </w:pPr>
      <w:r>
        <w:rPr>
          <w:rFonts w:ascii="Times New Roman" w:hAnsi="Times New Roman"/>
          <w:b/>
          <w:i/>
          <w:color w:val="000000"/>
          <w:sz w:val="20"/>
        </w:rPr>
        <w:t>Disruptions at the FDA, the SEC, and other government agencies caused by funding shortages or staffing limitations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have a negative impact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or foreign regulatory authorities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Disruptions at the FDA and other agencies may also prolong the time necessary for new drugs or biologics to be reviewed and/or approved by necessary government agencies, which would adversely affect our business. For example, in recent years and in the past year, the U.S. government has shut down several times and certain regulatory agencies, such as the FDA and the SEC, have had to furlough critical FDA, SEC, and other government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were to occur, or if funding shortages or staffing limitations hinder or prevent the FDA or other regulatory authorities from conducting their regular inspections,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reviews, or other regulatory activities, it could significantly affect the ability of the FDA to review and process our regulatory submissions in a timely manner, which could have a material adverse effect on our business.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depend on our license agreement with, and the comprehensiveness of the intellectual property licensed from, Hengrui. Termination of the Hengrui License Agreement, and issues related to intellectual property we license from Hengrui, would have a material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depend on the patents, know-how and other intellectual property licensed from Hengrui through the Hengrui License Agreement for the development and, if approved, commercialization of our product candidates. If the Hengrui License Agreement is terminated, or found to be unenforceable, it could result in the loss of significant rights and could harm our ability to commercialize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Hengrui License Agreement imposes certain obligations on us, including obligations to use commercially reasonable efforts to develop and commercialize licensed products in our territory, obligations to achieve certain regulatory milestone obligations within specified timelines, and obligations to pay Hengrui milestone payments, royalties and other fees. If we are unable to meet our obligations, our rights under the License Agreement may be reduced or terminated.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rights to our product candidates are subject to the Hengrui License Agreement, which may be terminated in certain circumstances, including in the event of an uncured material breach by us (such as an uncured payment default) or Hengrui. Without rights to the patents and know-how licensed under the Hengrui License Agreement, we may be unable to continue to develop, manufacture or commercialize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ability to realize the full potential of the Hengrui License Agreement may be severely limited by factors involving intellectual property rights,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and to what extent our technology and processes may infringe on intellectual property rights of third parties that are not subject to the Hengrui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third parties’ intellectual property without their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 and other intellectual property rights to third parties under collaborative development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compliance with our obligations with respect to the use of the licensed technology in relation to our development and commercialization of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ownership of specific intellectual property arising under the Hengrui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issues, if they arise, could reduce or eliminate our rights to the relevant intellectual property or technology, increase what we believe to be our financial or other obligations under the relevant agreement, or increase our costs to develop, manufacture and commercialize products under the Hengrui License Agreement.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dependent on Hengrui having accurately generated, collected, interpreted and reported data from certain nonclinical studies and clinical trials that were previously conducted for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licensed the rights to substantially all of our current product candidates from Hengrui, for which they undertook prior research and development, including nonclinical studies and clinical trials, primarily in China. We had no involvement with or control over the nonclinical and clinical development of any of our product candidates prior to our entry into the Hengrui License Agreement. In addition, we had no involvement in the development of third-party agents used as comparators or background therapies in such studies. Therefore, we are dependent on these third parties having conducted their research and development in accordance with the applicable protocols, legal and regulatory requirements, and scientific standards; having accurately reported the results of all nonclinical studies and clinical trials conducted with respect to such product candidates and having correctly collected and interpreted the data from these studies and trials. These risks also apply to any additional product candidates that we may acquire or license in the future. To date, we have not completed a comprehensive audit of the data that was generated by Hengrui with respect to our current product candidates. If we were to discover that data previously generated by Hengrui or another third-party was materially inaccurate or that their research and development activities were carried out in a noncompliant manner, we would be unable to rely on such data for our own clinical development, regulatory approval or commercialization purposes, adversely impacting the development of the implicated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on third parties to conduct our clinical trials and nonclinical studies. If these third parties do not successfully carry out their contractual duties, comply with applicable regulatory requirements, or meet expected deadlines, any of our current or future product candidates and our ability to seek or obtain regulatory approval for or commercialize any of our current or future product candidates may be delayed.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third parties to conduct our clinical trials and nonclinical studies. Specifically, we rely on, and intend to continue to rely on, medical institutions, clinical investigators, CROs and consultants to conduct our nonclinical studies and clinical trials in accordance with our clinical protocols and applicable regulatory requirements. These CROs, investigators and other third parties play a significant role in the conduct and timing of these trials and subsequent collection and analysis of data. In particular, we have licensed our pipeline from Hengrui, which has conducted and is conducting multiple nonclinical studies and clinical trials of our product candidates in China. We intend to leverage the clinical capabilities and data generated by Hengrui to inform and support our global development programs. While we have and will have agreements governing the activities of our third-party contractors, including Hengrui, we have limited influence over their actual performance, and we have no control over the data generated by Hengrui on our product candidates.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requirements, as applicable, for certain nonclinical studies, as well as GCP requirements, which are regulations and guidelines enforced by the FDA and comparable foreign regulatory authorities for any of our current and future clinical trials of product candidates. Regulatory authorities enforce these requirements through periodic inspections of laboratories conducting GLP studies, trial sponsors, principal investigators and trial sites. If we, our investigators, or any of our CROs or trial sites fail to comply with applicable GLP or GCP or other requirements, the clinical data generated in our nonclinical studies or clinical trials may be deemed unreliable, the statistical analysis and robustness of our datasets could be compromised, and the FDA or comparable foreign regulatory authorities may require us to perform additional nonclinical studies or clinical trials before approving our marketing applications, if ever. Further, our clinical trials must be conducted with investigational products produced in accordance with cGMP regulations. Failure to comply with these regulations may require us to repeat clinical trials, which would delay the development and regulatory approval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these CROs and investigators are not our employees, and we will not be able to control, other than by contract, the amount of resources, including time, which they devote to our product candidates and clinical trials. 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on the use of third parties, including Hengrui, to manufacture our product candidates, which may increase the risk that we will not have sufficient quantities of our product candidates or products or such quantities at an acceptable time and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clinical or commercial supplies of our product candidates. We have limited personnel with experience in drug manufacturing and lack the resources and the capabilities to manufacture any of our product candidates on a clinical or commercial scale. We currently rely on third parties, including Hengrui, for supply of the active pharmaceutical ingredients, or API, drug substance or drug product, in our product candidates. Hengrui supplies us with drug substance and drug product for our clinical trials, but if the Hengrui License Agreement is terminated, then our supply from Hengrui will also be terminated. Our strategy is to outsource all manufacturing of our product candidates and products to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supply arrangements with Hengrui and with other third-party manufacturers for development, validation and manufacturing of our product candidates to support near-term clinical supply and, if approved, potential commercial supply of our future products. We are in the process of further establishing agreements with third party manufacturers for the long-term clinical and commercial supply of our product candidates. We may be unable to conclude agreements for commercial supply with third-party manufacturers, or may be unable to do so on acceptable terms. While we are engaged in a number of efforts to reduce the cost of goods sold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candidates, particularly for ribupatide oral, such efforts may not be successful, which could limit the commercial profitability of such product candidates, if approved. Our efforts to improve the bioavailability of ribupatide oral or reduce the cost of manufacturing ribupatide drug substance may not be successful. We may not be able to enter into commercial manufacturing agreements with third-party manufacturers for drug substance, drug product or fill-finish services on commercially acceptable terms or at all, or may not be able to secure sufficient commercial manufacturing capacity from such third-party manufacturers on a timely enough basis. The third-party manufacturers may not successfully carry out their contractual duties or obligations, the occurrence 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able to establish and maintain arrangements with third-party manufacturers, reliance on third-party manufacturers, including Hengrui, entails additional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diversion of manufacturing capacity to other customers by the third party;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Third-party manufacturers, including Hengrui, may not be able to comply with current good manufacturing practice, or cGMP, regulations or similar regulatory requirements outside the United States. Our failure, or the failure of our third-party manufacturers, including Hengrui,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For example, in 2024, Hengrui received a Warning Letter from the FDA that was unrelated to the production of our product candidates. It is possible that Hengrui or other third-party manufacturers may in the future receive similar allegations of noncompliance or regulatory enforcement that may implicate the production of our product candidates, which could significantly and adversely affect supplies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in order to conduct late-stage clinical trials of our product candidates, we will need to have them manufactured in large quantities. Our third-party manufacturers, including Hengrui, may be unable to successfully increase the manufacturing capacity for any of our product candidates in a timely or cost-effective manner,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if our third-party manufacturers, including Hengrui, are unable to successfully scale up the manufacture of our product candidates in sufficient quality and quantity, the development, testing and clinical trials of those product candidates may be delayed or infeasible, and regulatory approval or commercial launch of such product candidates may be delayed or not obtained, which could significantly harm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rely on our licensors and third party manufacturers, including Hengrui, to transfer manufacturing know how, analytical methods, reference standards and any process improvements relating to our product candidates. If we do not receive, retain or are otherwise unable to use such know how, we may incur additional transition costs, need to repeat development or validation activities and experience delays in manufacturing and delivery. Drug substance or drug product supplied by third parties may not comply with regulatory quality requirements or have sufficient stability for commercialization, which could require additional investment, revalidation or process changes and delay our development, approval and commercialization plans. Manufacturing may also depend on raw materials, single source reagents or specialized equipment that may be difficult to secure. Because some supply originates outside the United States, any delay in obtaining or maintaining required import or export licenses or clearances could delay our timelines. Termination, expiration or breach of our supply, manufacturing or technology transfer arrangements could have a material adverse effect on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third parties, including Hengrui, that we engage to manufacture product for our nonclinical studies and clinical trials should cease to continue to do so for any reason, including due to outbreaks, geopolitical disruptions, natural disaster, epidemic or pandemic, trade wars, political unrest, economic conditions, changes in legislation or other events beyond their control, we likely would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advancing these clinical trials while we identify and qualify replacement suppliers, and we may be unable to obtain replacement supplies on terms that are favorable to us. For example, the passage of the People’s Republic of China’s Biosecurity law, which became effective on April 15, 2021, and subsequent legislation that China or the United States may adopt in the future, or other events in China could disrupt our ability to continue to rely upon manufacturers located in China, including Hengrui. In addition, if we are not able to obtain adequate supplies of our product candidates or the drug substances used to manufacture them, it will be more difficult for us to develop our product candidates and compete effectively.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Large pharmaceutical companies with greater resources, either through acquisitions, market consolidation or otherwise, may be able to obtain privileged access to manufacturing capacity and supply of material needed for the manufacture of our product candidates or other similar competing drugs. If our competitors are able to use their resources to secure preferential access to the supply capacity of third party manufacturers, or if third party manufacturers elect to terminate their contracts with us in favor of exclusive contracts with other larger pharmaceutical companies, our ability to obtain supply of our product candidates or any other future product candidates may be impacted resulting in significant delays and higher costs for development and commercialization of our product candidates. We may not be able to complete our clinical trials or market our product candidates at scale without stable partnerships with third party manufacturers who produce our product candidates or other drug compounds necessary for our product candidates. Shifting manufacturing relationship to another third-party manufacturer takes significant time and resources, and could delay development and commercialization of our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collaborations with international biotechnology or pharmaceutical companies for the commercialization of such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Any future collaborators may have the right to abandon research or development projects and terminate applicable agreements, including funding obligations, prior to or upon the expiration of the agreed upon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employees and independent contractors, including collaborators, principal investigators, CROs, consultants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comparable foreign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nonclinical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reliance on third parties requires us to share our trade secrets, which increases the possibility that a competitor or other third party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we currently rely on third parties to manufacture our product candidates and to perform quality testing, we must, at times, share our proprietary technology and confidential information, including trade secrets, with them. We seek to protect our trade secrets, in part, by entering into confidentiality agreements, and, if applicable, material transfer agreements, collaborative research agreements, service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confidential information or other unauthorized use or disclosure of such information would impair our competitive position and may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significant competition from entities that have made substantial investments into developing novel treatments for patients with obesity, including large pharmaceutical companies with approved therapies in our current indications, and biopharmaceutical, specialty pharmaceutical and biotechnology companies developing novel treatments and technology platforms.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commercialization of therapies for the treatment of obesity is highly competitive. Our product candidates, if approved, will face significant competition, including from well-established, currently marketed therapies that have been developed by large, well-known pharmaceutical companies, and our failure to demonstrate a meaningful improvement to the existing standard of care may prevent us from achieving significant market penetration. In particular, there is intense competition in the obesity field, especially with the advent of GLP-1 weight management medications, such as Wegovy, marketed by Novo Nordisk, and Zepbound, marketed by Eli Lilly. There are numerous other companies that have commercialized or are developing treatments for obesity that we will compete with, including Amgen, AstraZeneca, Boehringer Ingelheim, Merck, Pfizer, Roche, Structure Therapeutics, Viking Therapeutics and Zealand Pharma. We face competition from these companies and other major pharmaceutical and biotechnology companies, including specialty pharmaceutical companies, and academic institutions, governmental agencies and public and private research institutions, among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these aforementioned products have been marketed for several years and are well established among physicians, patients, guidelines and third-party payers, creating potential adoption and pricing challenges for new entrants, such as requiring demonstration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incremental value or benefits and/or reduction of healthcare system costs. These challenges will impact current and future products as they look to enter or expand the market.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that we will continue to face increasing competition as new therapies and combinations thereof, and related data, emerge. Competitors, independently or through collaboration, are developing products that potentially directly compete with our current or future product candidates and which may be a longer lasting or a more efficacious treatment, or receive FDA or other applicable regulatory approval more rapidly than any of our current or future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Furthermore, established competitors have, and may in the future, pursue aggressive pricing strategies or enter into discounted distribution arrangements to defend or expand their market share, which could intensify pricing pressure and create additional barriers to commercial success for our product candidates.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collaboration partners, have significantly greater financial resources and expertise in research and development, manufacturing, nonclinical testing, conducting clinical trials, obtaining regulatory approvals and marketing approved products than we do. Moreover, many of these aforementioned competing products have been marketed for several years and are well established among physicians, patients and guidelines.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 </w:t>
      </w:r>
    </w:p>
    <w:p>
      <w:pPr>
        <w:pStyle w:val="TextBody"/>
        <w:bidi w:val="0"/>
        <w:spacing w:before="360" w:after="283"/>
        <w:jc w:val="both"/>
        <w:rPr>
          <w:rFonts w:ascii="Times New Roman" w:hAnsi="Times New Roman"/>
          <w:sz w:val="20"/>
        </w:rPr>
      </w:pPr>
      <w:r>
        <w:rPr>
          <w:rFonts w:ascii="Times New Roman" w:hAnsi="Times New Roman"/>
          <w:b/>
          <w:i/>
          <w:color w:val="000000"/>
          <w:sz w:val="20"/>
        </w:rPr>
        <w:t>The commercial success of any of our current or future product candidates will depend upon the degree of market acceptance of such product candidates by physicians, patients, healthcare payors and others in the medical community.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any of our current or future product candidates receive regulatory approval, they may not gain market acceptance among physicians, patients, healthcare payors or others in the medical community. The commercial success of any of our current or future product candidates will depend significantly on the broad adoption and use of the resulting product by these individuals and organizations for approved indications. The degree of market acceptance of our products will depend on a number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demonstration of clinical efficacy and safety, including as compared to any more-established products or other alternative products that may later be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indications for which any of our current or future product candidates are approved,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limitation of our targeted patient population and other limitations or warnings contained in any FDA-approved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of a new drug for the relevant indication by healthcare providers and their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pricing and cost-effectiveness of our products, as well as the cost of treatment with our products in relation to alternative treatments and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sufficient third-party coverage and adequate reimbursement from government healthcare programs, including Medicare and Medicaid, private health insurers and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price concessions required by third-party payors to obtain coverage;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patients to pay all, or a portion of, out-of-pocket costs associated with our products in the absence of sufficient third-party coverage and adequate reimbursement;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restrictions on the use of our products, and the prevalence and severity of any adverse effects;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market introduction of our products as well as availability, safety and efficacy of competitive drugs;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or any current or future collaborators’ sales and marketing strategies;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publicity relating to the product, or favorable publicity about competitive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current or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360" w:after="283"/>
        <w:jc w:val="both"/>
        <w:rPr>
          <w:rFonts w:ascii="Times New Roman" w:hAnsi="Times New Roman"/>
          <w:sz w:val="20"/>
        </w:rPr>
      </w:pPr>
      <w:r>
        <w:rPr>
          <w:rFonts w:ascii="Times New Roman" w:hAnsi="Times New Roman"/>
          <w:b/>
          <w:i/>
          <w:color w:val="000000"/>
          <w:sz w:val="20"/>
        </w:rPr>
        <w:t>The successful commercialization of any of our current or future product candidates, if approved, will depend in part on the extent to which governmental authorities and health insurers establish coverage, adequate reimbursement levels and favorable pricing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any of our current or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or other cost-sharing that patients find unacceptably high.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participate in the Medicaid Drug Rebate Program or other governmental pricing programs, in certain circumstances, our products would be subject to ceiling prices, rebates, or other limitations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a less expensive competitor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Statutory constraints, including those limiting use of drugs for weight loss, or agency interpretations of those statutes may limit coverage for certain drug products by governmental payors.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or implement prior authorization or step therapy programs for new or innovative devices or drug therapies before they will reimburse patients who use such therapies, which may be time-consuming or costly for patients and lead to a reduction in revenue. It is difficult to predict at this time what third-party payors will decide with respect to the coverage and reimbursement for any of our current or future product candidates. Our success instead could depend on the ability and willingness of patients to pay out-of-pocket for our product candidates, if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if we participate in the Medicaid Drug Rebate Program or other federal programs, we would be required to calculate and report certain price reporting metrics to the government, such as best price. Penalties may apply in some cases when such metrics are not submitted accurately and timely. Further, programs we participate in may require us to extend mandatory discounts or pay rebates.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any of our current or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and regulatory changes. The downward pressure on healthcare costs in general, and prescription drugs, surgical procedures and other treatments in particular, has become very intense. As a result, increasingly high barriers are being erected to the entry of new products. See “Risks Related to Our Business Operations and Industry—Current and future U.S. healthcare reform legislation or regulation may increase the difficulty and cost for us to obtain coverage for and commercialize any of our current or future product candidates and may adversely affect the prices we may set” below for additional related information. </w:t>
      </w:r>
    </w:p>
    <w:p>
      <w:pPr>
        <w:pStyle w:val="TextBody"/>
        <w:bidi w:val="0"/>
        <w:spacing w:before="360" w:after="283"/>
        <w:jc w:val="both"/>
        <w:rPr>
          <w:rFonts w:ascii="Times New Roman" w:hAnsi="Times New Roman"/>
          <w:sz w:val="20"/>
        </w:rPr>
      </w:pPr>
      <w:r>
        <w:rPr>
          <w:rFonts w:ascii="Times New Roman" w:hAnsi="Times New Roman"/>
          <w:b/>
          <w:i/>
          <w:color w:val="000000"/>
          <w:sz w:val="20"/>
        </w:rPr>
        <w:t>Economic uncertainty may reduce patient demand for any of our current or future product candidates, if approved, which may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extent that any of our current or future product candidates are approved for indications that are not covered by or reimbursable through governmental authorities and health insurers, patients will bear the entire cost of our products. The decision to undergo therapy using our products for non-covered indications is thus driven by patient demand, which may be influenced by a number of factors, such 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sales and marketing programs, including our consumer marketing initiatives;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physicians recommend our products, if approved, to their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consumer sentiment about the benefits and risks of obesity drugs generally and our products, if approved, in particular, including satisfaction of patient expectations;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safety and effectiveness of our products, if approved, in comparison to other obesity drugs;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consumer confidence, which may be impacted by economic and political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Economic downturns in the United States and international markets would likely have an adverse effect on demand for our products, if approved. Our business, financial condition and results of operations will be adversely affected if we cannot generate significant patient demand for our products, if approved.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receive regulatory approvals for any of our current or future product candidates, we may face substantial competition from compounding pharmacies.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Federal Food, Drug, and Cosmetic Act, or the FDCA, the FDA has oversight over the compounding of human drug products without an approved drug application. Compounding is a practice in which a licensed pharmacist, a licensed physician, or, in the case of an outsourcing facility, a person under the supervision of a licensed pharmacist, combines, mixes, or alters ingredients of a drug to create a medication tailored to the needs of an individual patient.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503A of the FDCA establishes conditions under which compounded human drug products are exempt from certain requirements of the FDCA, including prior approval of an NDA, compliance with cGMPs, and labeling requirements, provided that the drug is compounded on the basis of receipt of valid patient-specific prescriptions and meets other requirements. Section 503B of the FDCA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established conditions for a new category of compounders known as outsourcing facilities, which may compound a drug without marketing approval, but are subject to cGMP requirements and other obligations. Subject to these conditions, outsourcing facilities may distribute compounded drugs either pursuant to patient-specific prescriptions or in response to an order from a health care provider, such as a hospital, that is not for an identified individual patient (e.g., for office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503A of the FDCA restricts compounding drugs that are essentially copies of commercially available drugs, but certain amounts are permissible under the law as long as the compounding is not done “regularly or in inordinate amounts.” However, all other conditions of Section 503A must be met, including that the compounding is done on the basis of a valid prescription for an individual patient. When a drug is on the FDA’s drug shortage list, meaning that the demand or projected demand for the drug within the United States exceeds the supply of the drug, that drug is not considered to be “commercially available” such that the limitation on compounding “essentially copies” is lifted. The FDA intends to consider a compounded drug product to be essentially a copy of a commercially available drug if it has the same API, has the same, similar, or an easily substitutable dosage strength; and can be used by the same route of administration.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Outsourcing facilities registered under Section 503B are also restricted from making essentially a copy of an FDA-approved drug, but this limitation is lifted for identical or nearly identical copies of an FDA-approved drug if that drug is on the FDA’s drug shortage list. When a drug is on the FDA’s drug shortages list, an outsourcing facility regulated under Section 503B of the FDCA can use a bulk drug substance, also known as an API, to make that drug. The FDA considers a compounded drug to be essentially a copy of a commercially available drug under Section 503B if the compounded drug product and the FDA-approved drug have the same API, route of administration, dosage form, strength, and excipients.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number of GLP-1 products have previously been identified on the FDA shortage list, allowing for “essentially copies” of these drugs to be compounded by outsourcing facilities, and where applicable, 503A compounders, and sold to meet demand. For example, tirzepatide and semaglutide, the active ingredients in Zepbound and Wegovy, respectively, have previously been on the FDA’s drug shortage list, and compounding facilities have and continue to compound these drugs. These compounded formulations of GLP-1 products are generally less expensive than the branded, approved products, so could be a more attractive option for patients, particularly where not covered and reimbursed by third party payors.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FDA announced that the shortages of tirzepatide and semaglutide have been resolved, the FDA was recently challenged in a lawsuit brought by the compounding industry regarding this decision. The Court denied the plaintiffs’ preliminary injunction motions with respect to both the removal of tirzepatide and semaglutide. While the lawsuit is currently on appeal, the FDA has announced that it has ended enforcement discretion against compounders of both tirzepatide and semaglutide. However, the FDA’s removal of these products from the shortage list in March and April 2025 has not yet cleared the market of compounded versions of the products, which could present a competitive threat to us if we obtain approval for our product candidates. Moreover, even if we obtain approval and our products are not on the shortage list, we could nevertheless face competition from compounded, less expensive versions of our product candidates akin to the availability of compounded tirzepatide and semaglutide.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immediate availability of compounded versions of GLP-1 products may impact our pricing strategy and market penetration, and undermine our ability to establish a strong market position. Furthermore, any adverse events or quality issues associated with compounded versions of these products could negatively impact the perception of our product. These competitive pressures could materially and adversely affect our business and financial condition. </w:t>
      </w:r>
    </w:p>
    <w:p>
      <w:pPr>
        <w:pStyle w:val="TextBody"/>
        <w:bidi w:val="0"/>
        <w:spacing w:before="360" w:after="283"/>
        <w:jc w:val="both"/>
        <w:rPr>
          <w:rFonts w:ascii="Times New Roman" w:hAnsi="Times New Roman"/>
          <w:sz w:val="20"/>
        </w:rPr>
      </w:pPr>
      <w:r>
        <w:rPr>
          <w:rFonts w:ascii="Times New Roman" w:hAnsi="Times New Roman"/>
          <w:b/>
          <w:i/>
          <w:color w:val="000000"/>
          <w:sz w:val="20"/>
        </w:rPr>
        <w:t>Governments outside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some countries, particularly the EU member states,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In some countries, we may be required to conduct a clinical trial or other studies that compare the cost-effectiveness of our product candidate to other available therapies in order to obtain or maintain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or if pricing is set at unsatisfactory levels, our business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develop our sales, marketing and distribution capability on our own or through collaborations with marketing partners, we will not be successful in commercializing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Factors that may inhibit our efforts to commercialize our product candidates on our own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and marketing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of sales personnel to obtain access to or persuade adequate numbers of physicians to prescribe any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will not be successful in commercializing our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If the market opportunities for any of our current or future product candidates are smaller than we believe they are, our revenue may be adversely affected, and our business may suffer.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precise incidence and prevalence for all the conditions we aim to address with our product candidates are unknown. Our projections of both the number of people who have these conditions and their associated diseases, as well as the subset of people with these diseases who have the potential to benefit from treatment with our product candidates, are based on our beliefs and estimates. These estimates have been derived from a variety of sources, including sales of our competitors, our own market insights, internal market intelligence and internally generated data and assumptions, scientific literature, surveys of clinics, patient foundations or market research. Market opportunity estimates, whether obtained or derived from third-party sources or developed internally, are subject to significant uncertainty and are based on assumptions and estimates that may not prove to be accurate. Further, new clinical trials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 </w:t>
      </w:r>
    </w:p>
    <w:p>
      <w:pPr>
        <w:pStyle w:val="TextBody"/>
        <w:bidi w:val="0"/>
        <w:spacing w:before="360" w:after="283"/>
        <w:jc w:val="both"/>
        <w:rPr>
          <w:rFonts w:ascii="Times New Roman" w:hAnsi="Times New Roman"/>
          <w:sz w:val="20"/>
        </w:rPr>
      </w:pPr>
      <w:r>
        <w:rPr>
          <w:rFonts w:ascii="Times New Roman" w:hAnsi="Times New Roman"/>
          <w:b/>
          <w:i/>
          <w:color w:val="000000"/>
          <w:sz w:val="20"/>
        </w:rPr>
        <w:t>Public opinion and scrutiny of treatments for obesity may impact public perception of our company and product candidates, or may adversely affect our ability to conduct our business and our business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 perception may be influenced by claims, such as claims that our product candidates are unsafe, unethical or immoral and, consequently, our approach may not gain the acceptance of the public or the medical community. Negative public reaction to treatments for obesity in general could result in greater government regulation and stricter labeling requirements of products to treat these chronic conditions, including our product candidates, if approved, and could cause a decrease in the demand for any product candidates we may develop. For example, there is widespread awareness of gastrointestinal side effects and lean muscle mass loss associated with obesity management medications, and severe adverse events observed with GLP-1-based therapies include, but are not limited to, acute pancreatitis, acute gallbladder disease, acute kidney injury and worsening of diabetic retinopathy. Such side effects associated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GLP-1-based therapies may negatively impact public perception of us or our incretin-based product candidates. Adverse public attitudes may also adversely impact our ability to enroll clinical trials.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Adverse events in our clinical trials, even if not ultimately attributable to our product candidates, and the resulting publicity could result in withdrawal of clinical trial participants,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 Operations and Industry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quarterly and annual operating results may fluctuate significantly or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due to a variety of factors, many of which are outside of our control and may be difficult to predict,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success or failure of clinical trials for our product candidates or competing product candidates, or any other change in the competitive landscape of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successfully recruit and retain subjects for clinical trials, and any delays caused by difficulties in such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marketing approval for our product candidates and the timing and scope of any such approvals we may receive;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product candidates, which may change from time to time;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our product candidates, which may vary depending on the quantity of production and the terms of its agreements with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attract, hire and retain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expenditures that we will or may incur to develop additional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demand for our product candidates should they receive approval, which may vary significantly;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therapeutics that compete with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changing and volatile U.S. and global economic environments;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milestone and royalty payments under the Hengrui License Agreement;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accounting pronouncements or changes in its accounting policies.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360" w:after="283"/>
        <w:jc w:val="both"/>
        <w:rPr>
          <w:rFonts w:ascii="Times New Roman" w:hAnsi="Times New Roman"/>
          <w:sz w:val="20"/>
        </w:rPr>
      </w:pPr>
      <w:r>
        <w:rPr>
          <w:rFonts w:ascii="Times New Roman" w:hAnsi="Times New Roman"/>
          <w:b/>
          <w:i/>
          <w:color w:val="000000"/>
          <w:sz w:val="20"/>
        </w:rPr>
        <w:t>Our success is dependent on our ability to attract and retain highly qualified management and other clinical and medical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recruit, retain, manage and motivate highly qualified management, clinical, and scientific personnel, and we face significant competition for experienced personnel. We are highly dependent upon our executive team, as well as our other employees. The loss of services of any of these individuals could delay or prevent the successful development of our product pipeline, initiation or completion of our clinical trials and nonclinical studies, regulatory approvals or the commercialization of any of our current or future product candidates. Although we have executed employment agreements with each of the members of our executive team, these agreements are terminable at will with or without notice and, therefore, we may not be able to retain their services as expected. We do not currently maintain “key person” life insurance on the lives of our executives or 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employees. This lack of insurance means that we may not have adequate compensation for the loss of the services of these individuals.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360" w:after="283"/>
        <w:jc w:val="both"/>
        <w:rPr>
          <w:rFonts w:ascii="Times New Roman" w:hAnsi="Times New Roman"/>
          <w:sz w:val="20"/>
        </w:rPr>
      </w:pPr>
      <w:r>
        <w:rPr>
          <w:rFonts w:ascii="Times New Roman" w:hAnsi="Times New Roman"/>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initially focused on the development of ribupatide injection for obesity, and we have three other product candidates that are at various stages of clinical development. We must seek to maintain a process of prioritization and resource allocation to maintain an optimal balance between aggressively pursuing ribupatide injection, and ensuring the development of additional potential product candidates in our pipeline.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we are focusing on obesity-first and must decide which product candidates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products and may divert resources away from better opportunities. If we make incorrect determinations regarding the viability or market potential of any of our product candidates or misread trends in the pharmaceutical industry, in particular for obesity treatments,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indications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operations and current and future arrangements with investigators, healthcare professionals, consultants, marketing personnel,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 (discussed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Efforts to ensure that our current and future business arrangements both internally and with third parties will comply with applicable healthcare laws and regulations will involve ongoing substantial costs. It is possible that governmental authorities will conclude that our business practices, including certain consulting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w:t>
      </w:r>
    </w:p>
    <w:p>
      <w:pPr>
        <w:pStyle w:val="TextBody"/>
        <w:bidi w:val="0"/>
        <w:spacing w:before="360" w:after="283"/>
        <w:jc w:val="both"/>
        <w:rPr>
          <w:rFonts w:ascii="Times New Roman" w:hAnsi="Times New Roman"/>
          <w:sz w:val="20"/>
        </w:rPr>
      </w:pPr>
      <w:r>
        <w:rPr>
          <w:rFonts w:ascii="Times New Roman" w:hAnsi="Times New Roman"/>
          <w:b/>
          <w:i/>
          <w:color w:val="000000"/>
          <w:sz w:val="20"/>
        </w:rPr>
        <w:t>Current and future U.S. healthcare reform legislation or regulation may increase the difficulty and cost for us to obtain coverage for and commercialize any of our current or future product candidates and may adversely affect the prices we may set.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of our current or future product candidates for which we obtain regulatory approval. In particular, there have been and continue to be a number of initiatives at the U.S. federal and state levels that seek to reduce healthcare costs and improve the quality of healthcare.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in 2010, the Affordable Care Act, or the ACA, was enacted in the United States. Among other provisions, the ACA established an annual, nondeductible fee on any entity that manufactures or imports specified branded prescription drugs and biologic agents; extended manufacturers’ Medicaid rebate liability to covered drugs dispensed to individuals who are enrolled in Medicaid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managed care organizations;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For example, beginning April 1, 2013, Medicare payments to providers were reduced under the sequestration required by the Budget Control Act of 2011, which will remain in effect through the 2032 fiscal year, unless additional Congressional action is taken. Additionally, on January 2, 2013, the American Taxpayer Relief Act of 2012 was signed into law, which, among other things, further reduced Medicare payments to several types of providers. On March 11, 2021, the American Rescue Plan Act of 2021 was signed into law, which eliminated the statutory cap on drug manufacturers’ Medicaid drug rebate liability,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Most significantly, the Inflation Reduction Act, or the IRA, was enacted in 2022.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2025), and replaces the Part D coverage gap discount program with a new discounting program (which began on January 1, 2025). Under the IRA, small molecule drugs and biologics that otherwise qualify for selection first become eligible for price negotiation seven and eleven years, respectively, after U.S. FDA approval. The IRA permits the Secretary of Health and Human Services, or HHS, to implement many of these provisions through guidance, as opposed to regulation, for the initial years. CMS published the negotiated prices for the initial ten drugs, which went into effect in January 2026, and for the subsequent 15 drugs, which will first be effective in 2027, as well as the next 15 drugs that will be subject to price negotiation. Each year thereafter, more Part B and Part D products will become subject to the HHS price negotiation program. HHS has issued and will continue to issue guidance implementing the IRA, although the program is currently subject to legal challenges. While the impact of the IRA on us and the pharmaceutical industry cannot yet be fully determined, it is likely to be significant. Additional drug pricing proposals could appear in future legislation.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Trump administration is also pursuing a two-fold strategy to reduce drug costs in the U.S. While it is unclear whether and how the Trump proposals will be implemented, the Trump policies are likely to have a negative impact on the pharmaceutical industry and on our ability to receive adequate revenues for our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final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these existing laws and other healthcare reform measures both at the federal and state level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demand for our current or future product candidates, if we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coverage and reimbursement approval for a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360" w:after="283"/>
        <w:jc w:val="both"/>
        <w:rPr>
          <w:rFonts w:ascii="Times New Roman" w:hAnsi="Times New Roman"/>
          <w:sz w:val="20"/>
        </w:rPr>
      </w:pPr>
      <w:r>
        <w:rPr>
          <w:rFonts w:ascii="Times New Roman" w:hAnsi="Times New Roman"/>
          <w:b/>
          <w:i/>
          <w:color w:val="000000"/>
          <w:sz w:val="20"/>
        </w:rPr>
        <w:t>Product liability lawsuits against us or any of our future collaborators could divert our resources and attention, cause us to incur substantial liabilities and limit commercialization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any of our future approved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termination of clinical trial sites or entire trial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litigation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or costly settlements with, patients or other claimants;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recalls or a change in the indications for which they may be used;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diversion of management and scientific resources from our business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its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insurance policies are expensive and protect us from only some business risks, which will leave us exposed to significant uninsured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property, general liability, employee benefits liability, commercial automobile, workers’ compensation, transportation and storage,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and our service providers may be subject to a variety of ever-evolving state, federal, and foreign data protection, privacy and security obligations, including laws, regulations, and contractual provisions, which could increase compliance costs, and our actual or perceived failure to comply with such laws and obligations could subject us to potentially significant liability, fines or penalties and otherwise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service providers receive, maintain, use and otherwise process sensitive information, including confidential business, employee and health-related information,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due to expanding operations or if we operate in foreign jurisdictions. These laws and regulations may be subject to differing interpretations, thus creating potentially complex compliance issues for us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service providers. In addition, we may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 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or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addition to these comprehensive consumer privacy laws and proposals, a number of other states have passed or proposed more limited privacy laws that focus on specific privacy issues such as biometric data and the privacy of health and medical information, such as Washington state’s My Health My Data Act, which has a private right of action that further increases the relevant compliance risk. Connecticut and Nevada have also passed similar laws regulating consumer health data.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In the event that we are subject to or affected by HIPAA, the CCPA or other domestic privacy and data protection laws, any liability from failure to comply with the requirements of these laws could adversely affect our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2024, the National Security Division of the U.S. Department of Justice, or the DOJ, issued a new rule—referred to as the “Data Security Program,” or DSP,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in the future be subject to the European Union General Data Protection Regulation and the United Kingdom General Data Protection Regulation, or, together, the GDPR. The GDPR, together with national legislation, regulations and guidelines of the European Economic Area, or EEA, member states and the UK governing the processing of personal data, impose comprehensive data privacy compliance obligations in relation to our collection, processing, sharing, disclosure, transfer and other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EEA and the UK. Companies that are subject to the GDPR face compliance obligations and risk, including regulatory enforcement and potential fines for noncompliance of up to £17.5 million (€20 million) or 4% of the annual global revenues of the noncompliant company, whichever is greater.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or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we may have to stop using certain tools and vendors and make other operational changes; we may have to implement alternative data transfer mechanisms under the GDPR and/ or take additional compliance and operational measures; and/or it could otherwise affect the manner in which we operate our business, and could adversely affect our business,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subject to data privacy and similar laws in China. China’s Personal Information Protection Law, or the PIPL, imposes various requirements on the collection, use processing, sharing and transfer of personal information. The PIPL also sets out data localization requirements for critical information infrastructure operators and personal information processors who process personal information above a certain threshold prescribed by the relevant authorities, unless a security assessment is passed. The PIPL also requires data processors to rely on a data export mechanism and comply with certain requirements prior to the transfer of personal information outside of China, such as compliance with a security assessment, or the Security Assessment, or certification by an agency designated by the relevant authorities, or Certification, or entering into standard form model contracts approved by the relevant authorities, or SCCs, with the overseas recipient, unless an exemption under the Provisions for Promoting and Regulating Cross-Border Data Flows , or the Provisions, applies, such as the transfer being necessary for the performance of a contract which the individual is a party to or necessary for cross-border HR management or the number of individuals’ whose personal information is transferred is less than 100,000 since January 1st of the current year. According to the Provisions published by the CAC on March 22, 2024, a data processor must apply for the Security Assessment organized by the CAC under any of the following circumstances and receive an approval from the relevant authorities before the information may be transferred outside of the PRC: (i) where a data processor or a critical information infrastructure operator, or CIIO, provides important data overseas, (ii) where a CIIO transfers personal information overseas (unless an exemption applies) or (iii) where a personal information processor either transfers more than 1 million individuals’ personal information or more than 10,000 individuals’ sensitive personal information overseas since January 1st of the current year, in each case unless an exemption applies. Additionally, a data processor must enter into the SCCs with the overseas recipient and file this with the local CAC within 10 working days of the contract’s effective date or obtain a Certification before transferring information overseas if the data processor either transfers more than 100,000 but less than 1 million individuals’ personal information or transfers less than 10,000 individuals’ sensitive personal information since January 1st of the current year, unless an exemption applies.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involves cross-border data transfers from or into China, such as the access of certain PRC patient-level information from overseas. We have signed the SCCs regarding certain cross-border data flows and this has been filed with the local CAC. We expect that we have complied with such filing requirements. However, it is possible for the competent PRC government authorities to take a contrary position or adopt different interpretations on the SCCs, in which case we may become subject to penalties or other liabilities under the applicable CAC regulations in relation to our handling of the cross-border transfers.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thus going beyond the penalties imposed under the GDPR. The PIPL also prohibits responsible personnel for violations of the PIPL from holding high level management or data protection officer positions in relevant enterprises.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generally unclear how the laws will be interpreted and enforced in practice by the relevant government authorities as the PIPL and its implementing regulations and measures are drafted broadly, thus leaving great discretion to the relevant government authorities to exercise. As such, our compliance approach towards the PIPL may be subject to further change and we may need to expend significant time and resources in re-evaluating our internal compliance framework to comply with the PIPL.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time-consuming to defend, could result in adverse publicity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information technology systems, or those of any of our third-party service providers, may fail or suffer security incidents, breaches, or compromises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and our third-party service providers collect, store and transmit confidential information (including but not limited to intellectual property, proprietary and confidential business information and personal information). We face numerous and evolving cybersecurity risks that threaten the confidentiality, integrity and availability of our systems and confidential information. Our information technology systems and those of our third-party service providers, strategic partners and other contractors or consultants are vulnerable to attack, damage and interruption from computer viruses and malware (e.g. ransomware), malicious code embedded in open-source software, misconfigurations, “bugs” or other vulnerabilities in commercial software that is integrated into our (or our third-party service providers’) systems, products or services,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(including artificial intelligence) used to obtain unauthorized access to, or to sabotage, systems change frequently and often are not recognized until launched against a target, we may be unable to anticipate these techniques or implement adequate preventative measures. Any integration of artificial intelligence in our or any third party’s operations, products or services is also expected to pose new or unknown cybersecurity risks and challenges.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cybersecurity risk management program and processes, including our policies, controls or procedures, will be fully implemented, complied with or effective in protecting our IT Systems and Confidential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incidents, and we expect such attacks and incidents to continue in varying degrees. While we do not believe that we have experienced any material system failure, accident or security breach to date, we cannot guarantee that material incidents will not occur in the future. For example, the loss of clinical trial data from clinical trials could result in delays in our regulatory approval efforts and significantly increase our costs to recover or reproduce the data. We also currently rely on a third party to manufacture our product candidates, and similar events relating to their computer systems could also have a material adverse effect on our business. To the extent that any actual or perceived disruption or security incident affects our systems (or those of our third-party service providers)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it could result in legal claims or proceedings (such as class actions), regulatory investigations and enforcement actions, the further development and commercialization of any of our current or future product candidates could be delayed, negative reputational impacts that cause us to lose existing or future customers, significant incident response, system restoration or remediation and future compliance costs, and we could be subject to significant fines, penalties or liabilities for any noncompliance to certain privacy and security laws. Any or all of the foregoing could materially adversely affect our business, operating results,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incidents, or compromises,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 and we cannot guarantee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costs and liabilities incurred in relation to an attack or incident will be covered by our existing insurance policies or that such insurance will continue to be available on acceptable terms or in amounts sufficient to cover the potentially significant losses that may result for a security incident or breach.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could be affected by litigation, government investigations and enforcement 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If we or our current or future licensors are unable to obtain, maintain, defend and enforce patent or other intellectual property protection for any of our current or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any of our current or future product candidates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and may in the future rely, upon a combination of patent, trade secret and know-how for any of our current and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any of our current and future product candidates and other proprietary technologies we may develop. We generally seek, and may in the future seek, to protect our proprietary position, in part, by filing patent applications in the United States and abroad relating to any of our current and future product candidates and technology, manufacturing processes and methods of use. We may also seek to protect our proprietary position by acquiring or further in-licensing relevant issued patents or pending patent applications from third parties. We will endeavor to seek additional patent protection to cover proprietary features of our product candidates and novel discoveries that are important to our business. Many of our in-licensed patent families were initially drafted, filed, and prosecuted by our licensor, Hengrui, and even where we now control the right to prosecution of such in-licensed patent families, we are and may in the future be required to solicit input and consider comments from Hengrui. Our control of prosecution for such in-licensed patent families is also limited to our territory and Hengrui still controls prosecution outside our territory. Hengrui could potentially make arguments or amendments in their territory that affect the scope or value of our in-licensed patent families in our territory. Additionally, some of our patent families are in an early stage of prosecution and cannot be enforced against third parties practicing the technology claimed in such applications unless, and until, patents are issued from such applications, and then only to the extent the issued claims cover the third parties’ activities. If we are unable to obtain, maintain, expand, enforce and defend the scope, ownership or control, validity and enforceability of our intellectual property protection,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possible that we or our current or future licensors will fail, or previously failed, to identify patentable aspects of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any of our current or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file for patent protection of such inventions. If a third party can establish that we or our licensors were not the first to invent or the first to file for patent protection of such inventions, our patents and patent applications may not issue as patents and even if issued, may be challenged and invalidated or rendered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In particular, the patent position of obesity treatments is particularly uncertain given a significant amount of competition centered around certain specific chemical scaffolds and mechanisms of action, including certain of those associated with our product candidates. As a result, the issuance, scope, validity, enforceability, and commercial value of our owned and in-licensed patent rights are highly uncertain. Our current and future patent applications may not result in patents being issued.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even if patents are granted, they may not afford sufficient protection of any of our current or future product candidates or their intended uses against competitors, nor can there be any assurance that the issued patents cannot be designed around, invalidated by third parties, or effectively prevent others from commercializing any of our current or future product candidates. Furthermore, even if granted, the resulting patents may be difficult to enforce. Obtaining and maintaining our owned and in-licensed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If we experience noncompliance events that cannot be corrected and we lose our patent rights, competitors could enter the market, which would have a material adverse effect on our business. Further, any issued patents that we own or license or may own or license in the future covering any of our current or future product candidates could be narrowed or found invalid or unenforceable if challenged in court or before administrative bodies in the United States or other countries, including the U.S. Patent and Trademark Office, or USPTO. Grounds for a validity challenge could be an alleged failure to meet any of several statutory requirements, including lack of novelty, obviousness, lack of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In certain circumstances, the finding could be cured by filing a retroactive terminal disclaimer over unexpired reference patent(s), which would result in a reduction of patent term, including a reduction or loss of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not protect our competitive position on any of our current or future product candidates for an adequate amount of time, and we may be subject to claims challenging the inventorship, ownership, validity, enforceability of our owned or in-licensed patents and/or other intellectual property. Changes in U.S. patent law, or laws in other countries, could diminish the value of patents in general, thereby impairing our ability to protect any of our current or future product candidates. Further, if we encounter delays in our development and testing, clinical trials or regulatory review and approval of any of our current or future product candidates, the period of time during which we could market such product candidates under patent protection may be reduced (i.e., patents protecting such product candidates might expire before or shortly after such product candidates are commercialized). Thus, our owned and in-licensed patents may not provide us with sufficient rights to exclude others from commercializing products similar or identical to ours or afford us any meaningful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 we do not know whether any of our current or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or the Hatch-Waxman Amendments, to conduct research and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issuance of a patent is not conclusive as to its inventorship, ownership, scope, validity, or enforceability, and our patent rights may be challenged in the courts or patent offices in the United States and abroad. We may be subject to post-grant proceedings at the USPTO challenging the validity of one or more claims of our owned and in-licensed patents. Third-party submissions may also be made prior to a patent’s issuance, precluding the granting of a patent based on our pending patent application. A third party may also claim that our owned and in-licensed patent rights are invalid or unenforceable in a litigation. The outcome following legal assertions of invalidity and unenforceability is unpredictable. In addition, we may become involved in opposition, derivation, revocation, reexamination, reissue, interference, inter partes review, post-grant review proceedings or other similar proceedings in the United States and/or foreign jurisdictions challenging our patent rights or the patent rights of others. An adverse determination in any such submission, proceeding or litigation could reduce the scope of, or invalidate or render unenforceable, our patent rights, and may allow third parties, including generic drug companies, to commercialize any of our current or future product candidates and use any other proprietary technologies we may develop to compete directly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some of our owned and in-licensed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or our licensors fail to comply with our obligations in the agreements under which we license intellectual property rights from third parties or otherwise experience disruptions to our business relationships with our current or future licensors, or if any of our material license agreements are terminated, we could lose our rights to key intellectual property and components enabling our technologies.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rights to our product candidates are subject to the licenses and other terms and conditions of the Hengrui License Agreement, and thus our commercial success will heavily depend on the maintenance of the Hengrui License Agreement. If, for any reason, the Hengrui License Agreement is terminated or we otherwise lose our rights under such agreement, it would adversely affect our business. The Hengrui License Agreement imposes, and future agreements may impose, various development, diligence, commercialization, milestone payment, royalty and other obligations on us, such as the requirement to meet development timelines or to exercise commercially reasonable efforts to develop and commercialize licensed products, in order to maintain the licenses. If we materially breach any of our obligations under the Hengrui License Agreement, Hengrui may terminate the Hengrui License Agreement, which would have a material adverse effect on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Hengrui License Agreement is complex, and certain provisions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Hengrui License Agreement, which could have a material adverse effect on our business, financial condition, results of operations, and prospects. For example, disputes may arise regarding the payment of the royalties or other payments due to Hengrui in connection with the rights we license from them. Hengrui may contest the basis of such payments, including the royalties we retained and claim that we are obligated to make payments under a broader basis. In addition, disputes may arise between us and our current or future licensors regarding intellectual property subject to a license agreement,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misappropriate or otherwise violate intellectual property of the licensor that is not subject to the licensing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patents and other rights to third parties;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transfer or assign the license;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diligence obligations under the license agreement and what activities satisfy those diligence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or other obligations under the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patented technology;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current or future licensors and us and our partners.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 license agreements. Such termination would result in the ability of the prior licensor to assert the prior licensed patents against us, or the prior licensor could license the patents to a competitor who could assert the prior licensed patents against us. As a result, we may be required to cease our development, manufacture and commercialization of our product candidates and use of our proprietary technologies covered by the patent rights owned by the licensors, which could have a material adverse effect on us. Alternatively, the prior licensor could abandon the patent rights, which would reduce the barrier to entry into the market. If these in-licenses are terminated, or if the licensed patents fail to provide the intended exclusivity, and if competitors circumvent any regulatory exclusivity, competitors would have the freedom to market products identical to ours. These events could have a material adverse effect on our competitive position,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Termination of the agreements or reduction or elimination of our rights under the agreements may result in our having to negotiate new or reinstated agreements with less favorable terms or cause us to lose our rights under these agreements, including our rights to important intellectual property or technology. For example, we may agree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if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development of our proprietary technology and product candidates may require us to enter into additional license or collaboration agreements.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proprietary technology in the future.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Filing, prosecuting, maintaining, enforcing and defending patents on any of our current or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owned and in-licensed patents or marketing of competing products in violation of our intellectual property and proprietary rights generally. In addition, some jurisdictions, such as Europe, Japan, and Korea,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Proceedings to enforce our owned and in-licensed intellectual property and proprietary rights in the United States or other jurisdictions could result in substantial costs and divert our efforts and attention from other aspects of our business, could put our patents and any patents we may own or license in the future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owned and in-licensed intellectual property and proprietary rights around the world may be inadequate to obtain a significant commercial advantage from the intellectual property that we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or exclusive licensee may be compelled to grant licenses to third parties, including governmental agencies. In addition, many countries limit the enforceability of patents against government agencies or government contractors. In these countries, the patent owner or exclusive licensee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current or future licensors and the maintenance, enforcement or defense of our issued patents which could impair our competitive intellectual property position. </w:t>
      </w:r>
    </w:p>
    <w:p>
      <w:pPr>
        <w:pStyle w:val="TextBody"/>
        <w:bidi w:val="0"/>
        <w:spacing w:before="360" w:after="283"/>
        <w:jc w:val="both"/>
        <w:rPr>
          <w:rFonts w:ascii="Times New Roman" w:hAnsi="Times New Roman"/>
          <w:sz w:val="20"/>
        </w:rPr>
      </w:pPr>
      <w:r>
        <w:rPr>
          <w:rFonts w:ascii="Times New Roman" w:hAnsi="Times New Roman"/>
          <w:b/>
          <w:i/>
          <w:color w:val="000000"/>
          <w:sz w:val="20"/>
        </w:rPr>
        <w:t>Obtaining and maintaining our owned and in-licensed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USPTO and various non-U.S. government agencies require compliance with several procedural, documentary, fee payment and other similar provisions during the patent application process. In some circumstances, we may be dependent on our current or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and in-licensed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cause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current or future licensors to take the necessary actions to comply with these requirements with respect to intellectual property that we license.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 health pandemics (such as the COVID-19 pandemic), geopolitical instability (war and terrorism), natural disasters, or similar events may impair our and our current or future licensors’ ability to comply with these procedural, document submission, fee payment, and other requirements imposed by government patent agencies, which may materially and adversely affect our ability to obtain or maintain patent protection for any of our current and future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Changes in patent laws or their interpretations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current or future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applications in the United States and most other countries are confidential for a period of time after filing or until issuance, we cannot be certain that we or our current or future licensors are the first to either (i) file any patent application related to any of our current or future product candidates and other proprietary technologies we may develop or (ii) invent any of the inventions claimed in our patents or patent applications.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owned and in-licensed patent rights. For example, the U.S. Supreme Court held in Amgen v. Sanofi (2023) that a functionally claimed genus was invalid for failing to comply with the enablement requirement of the Patent Act. As such, our owned and in-licensed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addition to heightened patentability requirements, the Supreme Court and Federal Circuit’s interpretation of biosimilar product approval under the BPCIA, has evolved in recent years, affecting the “patent dance” provisions of the statute, which are intended to resolve any patent infringement issues before the approval of a biosimilar.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2012, the European Union Patent Package, or EU Patent Package, regulations were passed with the goal of providing a single pan-European Unitary Patent and a new European Unified Patent Court, or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patents and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Such a loss of patent protection could have a material adverse impact on our business and our ability to commercialize our technology and any of our current and future product candidates due to increased competition and, resultantly, on our business, financial condition, results of operations and prospects. The UPC and Unitary Patent are significant changes in European patent practice. As the UPC is a new court system, there is limited precedent for the court, increasing the uncertainty of any litigation in the UPC. </w:t>
      </w:r>
    </w:p>
    <w:p>
      <w:pPr>
        <w:pStyle w:val="TextBody"/>
        <w:bidi w:val="0"/>
        <w:spacing w:before="360" w:after="283"/>
        <w:jc w:val="both"/>
        <w:rPr>
          <w:rFonts w:ascii="Times New Roman" w:hAnsi="Times New Roman"/>
          <w:sz w:val="20"/>
        </w:rPr>
      </w:pPr>
      <w:r>
        <w:rPr>
          <w:rFonts w:ascii="Times New Roman" w:hAnsi="Times New Roman"/>
          <w:b/>
          <w:i/>
          <w:color w:val="000000"/>
          <w:sz w:val="20"/>
        </w:rPr>
        <w:t>Issued patents covering any of our current or future product candidates could be found invalid or unenforceable if challenged in court or before administrative bodies in the United States or abroad.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owned and licensed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of our current or future licensors are unsuccessful in any of these proceedings, such patents and patent applications may be narrowed, invalidated or held unenforceable. Any of the foregoing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initiate legal proceedings against a third party to enforce a patent covering any of our current or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owned or in-licensed patent rights or any patent rights we may obtain or license in the future in such a way that they no longer cover any of our current or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any of our current or future product candidates. There is also a risk that, even if the validity of such patents is upheld, the court will construe the patent’s claims narrowly or decide that we do not have the right to stop the other party from using the invention at issue on the grounds that our owned and in-licensed patent claims do not cover the invention, or decide that the other party’s use of our patented technology falls under the safe harbor to patent infringement under 35 U.S.C. § 271(e). Such a loss of patent protection would have a material adverse impact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Patent terms may be inadequate to protect the competitive position of any of our current or future product candidates for an adequate amount of time.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any of our current or future product candidates are obtained, once the patent has expired, we may be vulnerable to competition from competitive products, including generics. Given the amount of time required for the development, testing and regulatory review of any of our current or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 product candidates. If we do not have sufficient patent life to protect our products, our business, financial condition, results of operations and prospects will be adversely affected.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do not obtain additional protection under the Hatch-Waxman Amendments and similar foreign legislation extending the terms of our licensed patents and any future patents we may own, our business, financial condition and results of operations may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Depending upon the timing, duration and specifics of FDA regulatory approval for our drug candidates, one or more of our licensed U.S. patents or future U.S. patents that we may license or own may be eligible for limited patent term restoration under the Hatch-Waxman Amendments. The Hatch-Waxman Amendments permit a patent restoration term of up to five years as compensation for patent term lost during drug development and the FDA regulatory review process. This period is generally one-half the time between the effective date of an investigational new drug application (falling after issuance of the patent), and the submission date of an NDA, plus the time between the submission date of an NDA and the approval of that application. Patent term restorations, however, cannot extend the remaining term of a patent beyond a total of 14 years from the date of product approval by the FDA, only one patent may be extended, and only claims covering the approved drug, a method for using it or a method for manufacturing it may be extended.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including due to failing to exercise due diligence during the testing phase or regulatory review process, failing to apply within applicable deadlines, failing to apply prior to expiration of relevant patents, or failing to satisfy other applicable requirements. If we are unable to obtain patent term extension or the term of any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our current or future licensors may be subject to claims challenging the inventorship or ownership of our owned and in-licensed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current or future licensors may be subject to claims that former employees, consultants, licensees, collaborators or other third parties have an interest in our owned or in-licensed patent rights, trade secrets, or other intellectual property as an inventor, co-inventor or owner of trade secrets. For example, we or our current or future licensors may have inventorship or ownership disputes arise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conflicting obligations of consultants or others who are involved in developing any of our current or future product candidates and other proprietary technologies we may develop. We or our current or future licensors may have relied on third-party consultants or collaborators or on funds from third parties, such as from a government entity, such that we or our current or future licensors are not the sole and exclusive owners of the patents we in-licensed. The failure to name the proper inventors on a patent application can result in the patents issuing therefrom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of our owned or in-licensed patent rights, trade secrets or other intellectual property. If we or our current or future licensors fail in defending any such claims, in addition to paying monetary damages, we may lose valuable intellectual property rights, such as ownership of, or the right to use intellectual property that is important to any of our current or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protect the confidentiality of our and current or future licensors’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seeking patent protection for any of our current or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(such as through a cybersecurity breach)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 Additionally,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subject to claims that third parties have an ownership interest in our trade secrets. For example, we may have disputes arise from conflicting obligations of our employees, consultants or others who are involved in developing any of our current or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any of our current or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that we caused an employee to breach the terms of his or her non-competition or non-solicitation agreement. Litigation may be necessary to defend against these claims. If we fail in defending any such claims, in addition to paying monetary damages, we may lose valuable intellectual property rights or personnel. Even if we are successful in defending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against such claims, litigation could result in substantial costs and be a distraction to our management. 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any of our current or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any of our current or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any of our current or future product candidates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any of our current or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any of our current or future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any of our current or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current or future product candidates that are held to be infringing. We might, if possible, also be forced to redesign any of our current or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Third-party claims of intellectual property infringement, misappropriation, or other violations against us or our collaborators could be expensive and time-consuming and may prevent or delay the development and commercialization of any of our current or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inter partes review, post-grant review, and reexamination proceedings before the USPTO or oppositions and other comparable proceedings in foreign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U.S. and foreign-issued patents and pending patent applications owned by third parties exist in the fields in which we plan to commercialize our programs (including obesity, weight loss and maintenance programs) and in which we are developing other proprietary technologies. As the biotechnology and pharmaceutical industries expand and more patents are issued, and as we gain greater visibility and market exposure as a public company, the risk increases that our programs and commercializing activities may give rise to claims of infringement of the patent rights of others. We cannot guarantee that our programs and other proprietary technologies we develop will not infringe existing or future patents owned by third parties. We may not be aware of patents that have already been issued for which a third party, such as a competitor in the fields in which we are developing our programs, might assert as infringed by us. It is also possible that patents owned by third parties of which we are aware, but which we do not believe we infringe or that we believe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valid defenses to any claims of patent infringement, could be found to be infringed by us. For example, we are aware of certain patent applications and patents in the United States and abroad owned by third parties with patent claims that, if valid and enforceable, may be relevant to KAI-7535 in the future. We are currently challenging one such granted patent by filing an opposition in the European Patent Office. Our opposition sets forth the grounds for invalidity of the current claims of the granted patent, although the ultimate outcome of the opposition remains uncertain. We may in the future challenge this and other patents or patent applications owned by third parties, including through opposition or other proceedings in the United States and abroad. It is not unusual that corresponding patents issued in different countries have different scopes of coverage, such that in one country a third-party patent does not pose a material risk, but in another country, the corresponding third-party patent may pose a material risk to any of our current or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any of our current or future product candidates or the use of any of our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have and may in the future pursue patent challenges with respect to third-party patents, including as a defense against the foregoing infringement claims. The outcome of such challenges is unpredictable.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any of our current or future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become involved in lawsuits to protect or enforce our owned and in-licensed patents and other intellectual property rights, which could be expensive, time-consuming, and unsuccessful.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such as competitors, may infringe our owned or in-licensed patent rights. In an infringement proceeding, a court may decide that a patent we own or license is invalid or unenforceable or may refuse to stop the other party from using the invention at issue. In addition, our owned or in-licensed patent rights may become involved in inventorship, ownership, priority, enforceability, or validity disputes. To counter or defend against such claims can be expensive and time-consuming. An adverse result in any litigation proceeding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If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at the USPTO and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any of our current or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be able to make products that are similar to any of our current or future product candidates or utilize similar technology but that are not covered by the claims of the patents that we own or license or may own or license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our current or future patent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our or their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our pending and future patent applications that we own or license will not lead to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issued patent that we currently own or license or may own or license in the future may be held invalid or unenforceable, including as a result of legal challenges by our competitors or other third parties;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have access to the same intellectual property rights licensed to us in the future on a non-exclusive basis;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or our current or future licensors do not have patent rights and then use the information learned from such activities to develop competitive products for sale in our major commercial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fail to identify potential patentable subject matter and/or may fail to file on it;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patents or other intellectual property rights of others may harm our business;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choose not to file for patent protection to maintain certain trade secrets or know-how, and a third party may subsequently file a patent application covering such intellectual property or disclose information resulting in a loss of protection for such trade secret.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Should any of the foregoing occur, it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not be successful in obtaining or maintaining necessary rights to product components and processes for our development pipeline through future acquisitions and in-licenses.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growth of our business may depend in part on our ability to acquire, in-license or use third-party intellectual property and proprietary rights. For example, any of our current or future product candidates may require specific formulations, delivery devices, or dosing regimens to work effectively and efficiently, we may need to use specific synthetic methods, intermediates or other reagents to efficiently manufacture our current or future product candidates,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can obtain a license, it may be non-exclusive, which means that our competitors may also receive access to the same technologies licensed to us. In that event, we may be required to expend significant time and resources to develop or license replacement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can obtain a license, it may be non-exclusive, and our competitors may also receive access to the same technologies licensed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to commercialize any of our current or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any of our current or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An active, liquid and orderly market for our common stock may not develop, or we may in the future fail to satisfy the continued listing requirements of Nasdaq, and you may not be able to resell your common stock at a price that you consider reasonable.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active trading market for our common stock may not develop or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before="360" w:after="283"/>
        <w:jc w:val="both"/>
        <w:rPr>
          <w:rFonts w:ascii="Times New Roman" w:hAnsi="Times New Roman"/>
          <w:sz w:val="20"/>
        </w:rPr>
      </w:pPr>
      <w:r>
        <w:rPr>
          <w:rFonts w:ascii="Times New Roman" w:hAnsi="Times New Roman"/>
          <w:b/>
          <w:i/>
          <w:color w:val="000000"/>
          <w:sz w:val="20"/>
        </w:rPr>
        <w:t>The trading price of the shares of our common stock could be highly volatile, and purchasers of our common stock could incur substantial losses.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a price that you consider reasonable. The market price for our common stock may be influenced by those factors discussed in this “Risk Factors” section and many others,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our clinical trials and nonclinical studies, and the results of trials of our competitors or those of other companies in our market sector;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enroll patients in our future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regulatory approval of any of our current or future product candidates or additional indications thereof, or limitations to specific label indications or patient populations for their use, or changes or delays in the regulatory review process;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United States and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or failure of our efforts to develop, acquire, or license any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innovations, clinical trial results, product approvals and other developments regarding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joint ventures, or capital commitments;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supply, or distribution delays or shortages;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changes to our relationship with any manufacturers, suppliers, collaborators or other strategic partners;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achievement of expected product sales and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variations in our financial results or development timelines or those of companies that are perceived to be similar to us, including variations from expectations of securities analysts 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conditions in the biopharmaceutical sector and issuance of securities analysts’ reports or recommendations;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inability to obtain additional funding;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stock by us, our insiders or our stockholders, as well as the anticipation of lock-up releases or expiration of market stand-off or lock-up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geopolitical and market conditions, such as military conflict or war, inflation and financial institution instability, or pandemic or epidemic disease outbreaks, many of which are beyond our control;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senior management, directors or key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intellectual property, product liability or other litigation against us or our inability to enforce our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capital structure, such as future issuances of securities and the incurrence of additional debt;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accounting standards, policies, guidelines, interpretations or principles.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executive officers, directors, and principal stockholders, if they choose to act together, will continue to have the ability to significantly influence all matters submitted to stockholders for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officers, directors and greater than 5% stockholders, if they choose to act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 </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currently intend to pay dividends on our common stock, so any returns on your investment will be limited to the value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 </w:t>
      </w:r>
    </w:p>
    <w:p>
      <w:pPr>
        <w:pStyle w:val="TextBody"/>
        <w:bidi w:val="0"/>
        <w:spacing w:before="360" w:after="283"/>
        <w:jc w:val="both"/>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directors and executive officers and substantially all of our securityholders before our initial public offering have entered into lock-up agreements in connection with our initial public offering pursuant to which they may not, with limited exceptions, for a period expiring at the close of business on October 13, 2026, offer, sell or otherwise transfer or dispose of any of our securities, without the prior written consent of two of the representatives of the underwriters, one of whom must be J.P. Morgan Securities LLC and the other of whom shall be selected by us in our sole discretion. The underwriters may permit our officers, directors and other securityholders who are subject to the lock-up agreements to sell shares prior to the expiration of the lock-up agreements at any time in their sole discretion. Sales of these shares, or perceptions that they will be sold, could cause the trading price of our common stock to decline. After the lock-up agreements expire, substantially all of our outstanding shares of common stock will be eligible for sale in the public market, unless held by one of our directors, executive officers or other affiliates, in which case the resale of those shares will be subject to volume limitations under Rule 144 under the Securities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registered all shares of common stock that we may issue under our equity compensation plans. Such shares of common stock that are subject to outstanding options under our equity compensation plans will become eligible for sale in the public market to the extent permitted by the provisions of various vesting schedules and the lock-up agreements described in the “Underwriting” section of the Prospectus. If these additional shares of common stock are sold, or if it is perceived that they will be sold, in the public market, the trading price of our common stock could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certain shares of our common stock will be entitled to rights with respect to the registration of their shares under the Securities Act, subject to vesting and the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or JOBS Act, and may remain an emerging growth company until the last day of the fiscal year following the fifth anniversary of the date of our initial public offering, or December 31, 2031.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in the assessment of our internal control over financial reporting pursuant to the Sarbanes-Oxley Act of 2002, or Sarbanes-Oxley;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exemption from compliance with the requirements of the Public Company Accounting Oversight Board regarding the communication of critical audit matters in the auditor’s report on the consolidated financial statements;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disclosure obligations regarding executive compensation;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taken advantage of reduced reporting burdens in the Prospectus and in this Quarterly Report on Form 10-Q. In particular, in the Prospectus, we provided only two years of audited financial statements and did not include all of the executive compensation-related information that would be required if we were not an emerging growth company. In addition, in this Quarterly Report on Form 10-Q, we have taken advantage of some of the scaled disclosures permitted, such as excluding quantitative and qualitative disclosures about market risk that would be required if we were not a smaller reporting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w:t>
      </w:r>
    </w:p>
    <w:p>
      <w:pPr>
        <w:pStyle w:val="TextBody"/>
        <w:bidi w:val="0"/>
        <w:spacing w:before="24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our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66-2/3% of the shares entitled to vote to remove a director for cause, and the prohibition on removal of directors without 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66-2/3% of the shares entitled to vote to adopt, amend or repeal our amended and restated bylaws or repeal the provisions of our amended and restated certificate of incorporation regarding the election and removal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exclusive forum provision providing that the Court of Chancery of the State of Delaware will be the exclusive forum for certain actions and proceedings;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the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result in increased costs to stockholders to bring a claim, limit a stockholder’s ability to bring a claim in a judicial forum that it finds favorable for disputes with us or our directors, officers or other employees, and may generally have the effect of discouraging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 </w:t>
      </w:r>
    </w:p>
    <w:p>
      <w:pPr>
        <w:pStyle w:val="TextBody"/>
        <w:bidi w:val="0"/>
        <w:spacing w:before="360" w:after="283"/>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will incur significant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and rules subsequently adopted by the SEC and Nasdaq to implement provisions of Sarbanes-Oxley impose significant requirements on public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“say-on-pay”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substantially increase our legal and financial compliance costs and to make some activities more time-consuming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directors and officers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We could face criminal liability and other serious consequences for violations, which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 </w:t>
      </w:r>
    </w:p>
    <w:p>
      <w:pPr>
        <w:pStyle w:val="TextBody"/>
        <w:bidi w:val="0"/>
        <w:spacing w:before="360" w:after="283"/>
        <w:jc w:val="both"/>
        <w:rPr>
          <w:rFonts w:ascii="Times New Roman" w:hAnsi="Times New Roman"/>
          <w:sz w:val="20"/>
        </w:rPr>
      </w:pPr>
      <w:r>
        <w:rPr>
          <w:rFonts w:ascii="Times New Roman" w:hAnsi="Times New Roman"/>
          <w:b/>
          <w:i/>
          <w:color w:val="000000"/>
          <w:sz w:val="20"/>
        </w:rPr>
        <w:t>We and any of our third-party manufacturers or suppliers may use potent chemical agents and hazardous materials, and any claims relating to improper handling, storage, or disposal of these materials could be time-consuming or costly.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geopolitical actions or business interruptions, for which we are predominantly self-insured. We rely on third-party manufacturers or suppliers in various countries to produce our current or future product candidates and its components and on CROs and clinical sites to conduct our clinical trials, and do not have a redundant source of supply for all components of any of our current or future product candidates. Our ability to obtain clinical or, if approved, commercial, supplies of any of our current or future product candidates could be disrupted if the operations of these suppliers were affected by a man-made or natural disaster, geopolitical action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 </w:t>
      </w:r>
    </w:p>
    <w:p>
      <w:pPr>
        <w:pStyle w:val="TextBody"/>
        <w:bidi w:val="0"/>
        <w:spacing w:before="360" w:after="283"/>
        <w:jc w:val="both"/>
        <w:rPr>
          <w:rFonts w:ascii="Times New Roman" w:hAnsi="Times New Roman"/>
          <w:sz w:val="20"/>
        </w:rPr>
      </w:pPr>
      <w:r>
        <w:rPr>
          <w:rFonts w:ascii="Times New Roman" w:hAnsi="Times New Roman"/>
          <w:b/>
          <w:i/>
          <w:color w:val="000000"/>
          <w:sz w:val="20"/>
        </w:rPr>
        <w:t>Unstable market and economic conditions and adverse developments with respect to financial institutions and associated liquidity risk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Sarbanes-Oxley, our management will be required to report upon the effectiveness of our internal control over financial reporting beginning with the second annual report following the completion of our initial public offering. When we are no longer an “emerging growth company” and do not otherwise qualify as a “smaller reporting company” under the SEC rules, our independent registered public accounting firm will be required to attest to the effectiveness of our internal control over financial reporting. The rules governing the standards that must be met for our management to assess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both"/>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Proceeds from our Public Offering of Common Stock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April 20, 2026, we completed the initial public offering of our common stock pursuant to which we issued and sold 44,921,875 shares of our common stock (inclusive of 5,859,375 shares pursuant to the full exercise of the underwriters’ overallotment option) at a price to the public of $16.00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shares issued and sold in the initial public offering were registered under the Securities Act pursuant to a Registration Statement on Form S-1 (File No. 333-294690), as amended, declared effective by the SEC on April 16,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received net proceeds of $662.0 million from our initial public offering, after deducting commissions, underwriting discounts and other offering costs. None of the expenses associated with the initial public offering were paid to directors, officers, persons owning 10% or more of any class of equity securities, or to our affiliates. J.P. Morgan Securities LLC, Jefferies LLC, Leerink Partners LLC, TD Securities (USA) LLC and Evercore Group L.L.C. acted as joint book-running managers for the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holding a significant portion of the balance of the proceeds in a variety of capital preservation investments, including money market funds, U.S. government securities, and corporate bonds. There has been no material change in the expected use of the net proceeds from our initial public offering as described in our Prospectus filed pursuant to Rule 424(b)(4) under the Securities Act with the SEC on April 17, 2026.</w:t>
      </w:r>
    </w:p>
    <w:p>
      <w:pPr>
        <w:pStyle w:val="TextBody"/>
        <w:bidi w:val="0"/>
        <w:jc w:val="both"/>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None.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None.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During the quarter ended June 30, 2026, none of our directors or officers (as defined in Rule 16a-1 under the Exchange Act) adopted or terminated a “Rule 10b5-1 trading arrangement” or “non-Rule 10b5-1 trading arrangement” (as those terms are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146"/>
        <w:gridCol w:w="9303"/>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3"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Certificate of Incorporation of Kailera Therapeutics, Inc. (incorporated by reference to Exhibit 3.1 of the Registrant's Current Report on Form 8-K (File No. 001-43233) filed on April 20, 2026).</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Kailera Therapeutics, Inc. (incorporated by reference to Exhibit 3.2 of the Registrant’s Current Report on Form 8-K (File No. 001-43233) filed on April 20, 2026).</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2026 Incentive Award Plan, form of option agreement, performance option agreement, restricted stock agreement and restricted stock unit agreement thereunder (incorporated by reference to Exhibit 99.2 of the Registrant’s Registration Statement on Form S-8 (File No. 333-295117) filed on April 17, 2026).</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2026 Employee Stock Purchase Plan (incorporated by reference to Exhibit 99.3 of the Registrant’s Registration Statement on Form S-8 (File No. 333-295117) filed on April 17, 2026).</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Non-Employee Director Compensation Program (incorporated by reference to Exhibit 10.4 of the Registrant’s Registration Statement on Form S-1 (File No. 333-294690) filed on April 13, 2026).</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96997-ex10_4.htm">
              <w:r>
                <w:rPr>
                  <w:rStyle w:val="InternetLink"/>
                  <w:rFonts w:ascii="Times New Roman" w:hAnsi="Times New Roman"/>
                  <w:color w:val="0000FF"/>
                  <w:sz w:val="20"/>
                  <w:u w:val="single"/>
                </w:rPr>
                <w:t>Second Amended and Restated Employment Agreement, dated April 15, 2026, by and between Ronald C. Renaud, Jr. and the Registrant.</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96997-ex10_5.htm">
              <w:r>
                <w:rPr>
                  <w:rStyle w:val="InternetLink"/>
                  <w:rFonts w:ascii="Times New Roman" w:hAnsi="Times New Roman"/>
                  <w:color w:val="0000FF"/>
                  <w:sz w:val="20"/>
                  <w:u w:val="single"/>
                </w:rPr>
                <w:t>Amended and Restated Employment Agreement, dated April 14, 2026, by and between Paul Burgess and the Registrant.</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96997-ex10_6.htm">
              <w:r>
                <w:rPr>
                  <w:rStyle w:val="InternetLink"/>
                  <w:rFonts w:ascii="Times New Roman" w:hAnsi="Times New Roman"/>
                  <w:color w:val="0000FF"/>
                  <w:sz w:val="20"/>
                  <w:u w:val="single"/>
                </w:rPr>
                <w:t>Amended and Restated Employment Agreement, dated April 14, 2026, by and between Jamie Coleman and the Registrant.</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Indemnification Agreement for Directors and Officers (incorporated by reference to Exhibit 10.9 of the Registrant’s Registration Statement on Form S-1 (File No. 333-294690) filed on March 27, 2026).</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96997-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96997-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96997-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96997-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18" w:type="dxa"/>
        <w:jc w:val="left"/>
        <w:tblInd w:w="0" w:type="dxa"/>
        <w:tblLayout w:type="fixed"/>
        <w:tblCellMar>
          <w:top w:w="28" w:type="dxa"/>
          <w:left w:w="28" w:type="dxa"/>
          <w:bottom w:w="28" w:type="dxa"/>
          <w:right w:w="28" w:type="dxa"/>
        </w:tblCellMar>
      </w:tblPr>
      <w:tblGrid>
        <w:gridCol w:w="1951"/>
        <w:gridCol w:w="406"/>
        <w:gridCol w:w="39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Kailera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Ronald C. Renaud, Jr.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Ronald C. Renaud, Jr.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Douglas Pagán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Pagán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ck0002096997-ex10_4.htm"/>
      <w:bookmarkStart w:id="23" w:name="ksck0002096997ex10_4"/>
      <w:bookmarkEnd w:id="22"/>
      <w:bookmarkEnd w:id="23"/>
      <w:r>
        <w:rPr>
          <w:rFonts w:ascii="Times New Roman" w:hAnsi="Times New Roman"/>
          <w:b/>
          <w:color w:val="000000"/>
          <w:sz w:val="24"/>
        </w:rPr>
        <w:t>Exhibit 10.4</w:t>
      </w:r>
      <w:r>
        <w:br w:type="page"/>
      </w:r>
    </w:p>
    <w:p>
      <w:pPr>
        <w:pStyle w:val="TextBody"/>
        <w:bidi w:val="0"/>
        <w:jc w:val="right"/>
        <w:rPr/>
      </w:pPr>
      <w:r>
        <w:rPr/>
        <w:t> </w:t>
      </w:r>
    </w:p>
    <w:p>
      <w:pPr>
        <w:pStyle w:val="Heading1"/>
        <w:bidi w:val="0"/>
        <w:jc w:val="center"/>
        <w:rPr>
          <w:rFonts w:ascii="Times New Roman" w:hAnsi="Times New Roman"/>
          <w:sz w:val="20"/>
        </w:rPr>
      </w:pP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RESTATED</w:t>
      </w:r>
    </w:p>
    <w:p>
      <w:pPr>
        <w:pStyle w:val="Heading1"/>
        <w:bidi w:val="0"/>
        <w:jc w:val="center"/>
        <w:rPr>
          <w:rFonts w:ascii="Times New Roman" w:hAnsi="Times New Roman"/>
          <w:color w:val="000000"/>
          <w:sz w:val="24"/>
        </w:rPr>
      </w:pPr>
      <w:r>
        <w:rPr>
          <w:rFonts w:ascii="Times New Roman" w:hAnsi="Times New Roman"/>
          <w:color w:val="000000"/>
          <w:sz w:val="24"/>
        </w:rPr>
        <w:t>EMPLOYMENT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EMPLOYMENT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 xml:space="preserve">(this </w:t>
      </w:r>
      <w:r>
        <w:rPr>
          <w:rFonts w:ascii="Times New Roman" w:hAnsi="Times New Roman"/>
          <w:color w:val="000000"/>
          <w:sz w:val="20"/>
        </w:rPr>
        <w:t>“</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2026,</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Kailera</w:t>
      </w:r>
      <w:r>
        <w:rPr>
          <w:rFonts w:ascii="Times New Roman" w:hAnsi="Times New Roman"/>
          <w:color w:val="000000"/>
          <w:sz w:val="20"/>
        </w:rPr>
        <w:t xml:space="preserve"> </w:t>
      </w:r>
      <w:r>
        <w:rPr>
          <w:rFonts w:ascii="Times New Roman" w:hAnsi="Times New Roman"/>
          <w:color w:val="000000"/>
          <w:sz w:val="24"/>
        </w:rPr>
        <w:t>Therapeutics, Inc.,</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Ronald</w:t>
      </w:r>
      <w:r>
        <w:rPr>
          <w:rFonts w:ascii="Times New Roman" w:hAnsi="Times New Roman"/>
          <w:color w:val="000000"/>
          <w:sz w:val="20"/>
        </w:rPr>
        <w:t xml:space="preserve"> </w:t>
      </w:r>
      <w:r>
        <w:rPr>
          <w:rFonts w:ascii="Times New Roman" w:hAnsi="Times New Roman"/>
          <w:color w:val="000000"/>
          <w:sz w:val="24"/>
        </w:rPr>
        <w:t>Renaud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 effective as of the Effective Date (as defined below). Certain capitalized terms used, but not otherwise defined, in this Agreement are defined in Section 6 hereof.</w:t>
      </w:r>
    </w:p>
    <w:p>
      <w:pPr>
        <w:pStyle w:val="TextBody"/>
        <w:bidi w:val="0"/>
        <w:spacing w:before="240" w:after="283"/>
        <w:jc w:val="both"/>
        <w:rPr>
          <w:rFonts w:ascii="Times New Roman" w:hAnsi="Times New Roman"/>
          <w:sz w:val="20"/>
        </w:rPr>
      </w:pPr>
      <w:r>
        <w:rPr>
          <w:rFonts w:ascii="Times New Roman" w:hAnsi="Times New Roman"/>
          <w:color w:val="000000"/>
          <w:sz w:val="24"/>
        </w:rPr>
        <w:t>WHEREAS, the Company and Executive previously entered into that certain Amended and Restated Employment Agreement, dated as of December 6, 2024 (the “</w:t>
      </w:r>
      <w:r>
        <w:rPr>
          <w:rFonts w:ascii="Times New Roman" w:hAnsi="Times New Roman"/>
          <w:color w:val="000000"/>
          <w:sz w:val="24"/>
          <w:u w:val="single"/>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Statement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S-1</w:t>
      </w:r>
      <w:r>
        <w:rPr>
          <w:rFonts w:ascii="Times New Roman" w:hAnsi="Times New Roman"/>
          <w:color w:val="000000"/>
          <w:sz w:val="20"/>
        </w:rPr>
        <w:t xml:space="preserve"> </w:t>
      </w:r>
      <w:r>
        <w:rPr>
          <w:rFonts w:ascii="Times New Roman" w:hAnsi="Times New Roman"/>
          <w:color w:val="000000"/>
          <w:sz w:val="24"/>
        </w:rPr>
        <w:t>filed with the Securities and Exchange Commission relating to the registered underwritten public offering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Effective</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desires to continue to benefit from the services of the Executive, and the Executive desires to continue to render such services, on the terms and conditions set forth in this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effective as of the Effective Date, this Agreement will supersede the Prior Agreement in all respects.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covenants contained herein and intending to be legally bound hereby, the Company and the Executive agree as follows, effective on the Effective Date: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pPr>
      <w:r>
        <w:rPr>
          <w:rFonts w:ascii="Times New Roman" w:hAnsi="Times New Roman"/>
          <w:b/>
          <w:color w:val="000000"/>
          <w:sz w:val="24"/>
        </w:rPr>
        <w:t>Employment,</w:t>
      </w:r>
      <w:r>
        <w:rPr>
          <w:color w:val="000000"/>
        </w:rPr>
        <w:t xml:space="preserve"> </w:t>
      </w:r>
      <w:r>
        <w:rPr>
          <w:rFonts w:ascii="Times New Roman" w:hAnsi="Times New Roman"/>
          <w:b/>
          <w:color w:val="000000"/>
          <w:sz w:val="24"/>
        </w:rPr>
        <w:t>Position</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Duties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continue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full-time basis, as the President and Chief Executive Officer of the Company, reporting to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acknowledge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is and shall continue to be at-will, as defined under applicable law, and that Executive’s employment with the Company may be terminated by either party at any time for any or no reason (subject to the notice requirements of Section 4(a)).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a duly authorized officer of the Company or as provided by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The Executive agrees to perform the duties and responsibilities of the Executive’s positions, and such other duties and responsibilities as are</w:t>
      </w:r>
      <w:r>
        <w:rPr>
          <w:color w:val="000000"/>
        </w:rPr>
        <w:t xml:space="preserve"> </w:t>
      </w:r>
      <w:r>
        <w:rPr>
          <w:rFonts w:ascii="Times New Roman" w:hAnsi="Times New Roman"/>
          <w:color w:val="000000"/>
          <w:sz w:val="24"/>
        </w:rPr>
        <w:t>appropriate for the Executive’s positions and as may reasonably be assigned to the Executive from time to time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Board.</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also</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while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 xml:space="preserve">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Company, the Executive will devote the Executive’s full business time and the Executive’s</w:t>
      </w:r>
      <w:r>
        <w:rPr>
          <w:color w:val="000000"/>
        </w:rPr>
        <w:t xml:space="preserve"> </w:t>
      </w:r>
      <w:r>
        <w:rPr>
          <w:rFonts w:ascii="Times New Roman" w:hAnsi="Times New Roman"/>
          <w:color w:val="000000"/>
          <w:sz w:val="24"/>
        </w:rPr>
        <w:t>best</w:t>
      </w:r>
      <w:r>
        <w:rPr>
          <w:color w:val="000000"/>
        </w:rPr>
        <w:t xml:space="preserve"> </w:t>
      </w:r>
      <w:r>
        <w:rPr>
          <w:rFonts w:ascii="Times New Roman" w:hAnsi="Times New Roman"/>
          <w:color w:val="000000"/>
          <w:sz w:val="24"/>
        </w:rPr>
        <w:t>efforts,</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judgment,</w:t>
      </w:r>
      <w:r>
        <w:rPr>
          <w:color w:val="000000"/>
        </w:rPr>
        <w:t xml:space="preserve"> </w:t>
      </w:r>
      <w:r>
        <w:rPr>
          <w:rFonts w:ascii="Times New Roman" w:hAnsi="Times New Roman"/>
          <w:color w:val="000000"/>
          <w:sz w:val="24"/>
        </w:rPr>
        <w:t>skill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knowledge</w:t>
      </w:r>
      <w:r>
        <w:rPr>
          <w:color w:val="000000"/>
        </w:rPr>
        <w:t xml:space="preserve"> </w:t>
      </w:r>
      <w:r>
        <w:rPr>
          <w:rFonts w:ascii="Times New Roman" w:hAnsi="Times New Roman"/>
          <w:color w:val="000000"/>
          <w:sz w:val="24"/>
        </w:rPr>
        <w:t>exclusively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advancement of the business interests of the Company and its Affiliates and to the discharge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 (i)</w:t>
      </w:r>
      <w:r>
        <w:rPr>
          <w:color w:val="000000"/>
        </w:rPr>
        <w:t xml:space="preserve"> </w:t>
      </w:r>
      <w:r>
        <w:rPr>
          <w:rFonts w:ascii="Times New Roman" w:hAnsi="Times New Roman"/>
          <w:color w:val="000000"/>
          <w:sz w:val="24"/>
        </w:rPr>
        <w:t>engage</w:t>
      </w:r>
      <w:r>
        <w:rPr>
          <w:color w:val="000000"/>
        </w:rPr>
        <w:t xml:space="preserve"> </w:t>
      </w:r>
      <w:r>
        <w:rPr>
          <w:rFonts w:ascii="Times New Roman" w:hAnsi="Times New Roman"/>
          <w:color w:val="000000"/>
          <w:sz w:val="24"/>
        </w:rPr>
        <w:t>in any other</w:t>
      </w:r>
      <w:r>
        <w:rPr>
          <w:color w:val="000000"/>
        </w:rPr>
        <w:t xml:space="preserve"> </w:t>
      </w:r>
      <w:r>
        <w:rPr>
          <w:rFonts w:ascii="Times New Roman" w:hAnsi="Times New Roman"/>
          <w:color w:val="000000"/>
          <w:sz w:val="24"/>
        </w:rPr>
        <w:t>business activity, except as 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expressly approved in advance by the Board in writing, with the Board to consider in good faith any reasonable request made by the Executive pursuant to this clause (i), or (ii) serve in any industry, trade, professional, governmental or academic position during the Executive’s employment, 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approved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advance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Board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writing,</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approval</w:t>
      </w:r>
      <w:r>
        <w:rPr>
          <w:color w:val="000000"/>
        </w:rPr>
        <w:t xml:space="preserve"> </w:t>
      </w:r>
      <w:r>
        <w:rPr>
          <w:rFonts w:ascii="Times New Roman" w:hAnsi="Times New Roman"/>
          <w:color w:val="000000"/>
          <w:sz w:val="24"/>
        </w:rPr>
        <w:t xml:space="preserve">of any service contemplated by this clause (ii) not to be unreasonably withheld; provided, however, that the Executive may participate in the activities set forth on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of the Prior Agreement and may, without advance consent, participate in charitable and/or civic activities and engage in personal investment activities, in each case, to the extent such activities,</w:t>
      </w:r>
      <w:r>
        <w:rPr>
          <w:color w:val="000000"/>
        </w:rPr>
        <w:t xml:space="preserve"> </w:t>
      </w:r>
      <w:r>
        <w:rPr>
          <w:rFonts w:ascii="Times New Roman" w:hAnsi="Times New Roman"/>
          <w:color w:val="000000"/>
          <w:sz w:val="24"/>
        </w:rPr>
        <w:t>individually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aggregate,</w:t>
      </w:r>
      <w:r>
        <w:rPr>
          <w:color w:val="000000"/>
        </w:rPr>
        <w:t xml:space="preserve"> </w:t>
      </w:r>
      <w:r>
        <w:rPr>
          <w:rFonts w:ascii="Times New Roman" w:hAnsi="Times New Roman"/>
          <w:color w:val="000000"/>
          <w:sz w:val="24"/>
        </w:rPr>
        <w:t>do</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materially</w:t>
      </w:r>
      <w:r>
        <w:rPr>
          <w:color w:val="000000"/>
        </w:rPr>
        <w:t xml:space="preserve"> </w:t>
      </w:r>
      <w:r>
        <w:rPr>
          <w:rFonts w:ascii="Times New Roman" w:hAnsi="Times New Roman"/>
          <w:color w:val="000000"/>
          <w:sz w:val="24"/>
        </w:rPr>
        <w:t>interfere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 of the Executive’s duties under this Agreement, create a conflict of interest or violate any restrictive</w:t>
      </w:r>
      <w:r>
        <w:rPr>
          <w:color w:val="000000"/>
        </w:rPr>
        <w:t xml:space="preserve"> </w:t>
      </w:r>
      <w:r>
        <w:rPr>
          <w:rFonts w:ascii="Times New Roman" w:hAnsi="Times New Roman"/>
          <w:color w:val="000000"/>
          <w:sz w:val="24"/>
        </w:rPr>
        <w:t>covenant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favor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 Affiliates.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pPr>
      <w:r>
        <w:rPr>
          <w:rFonts w:ascii="Times New Roman" w:hAnsi="Times New Roman"/>
          <w:b/>
          <w:color w:val="000000"/>
          <w:sz w:val="24"/>
        </w:rPr>
        <w:t>Compensation and Benefits</w:t>
      </w:r>
      <w:r>
        <w:rPr>
          <w:rFonts w:ascii="Times New Roman" w:hAnsi="Times New Roman"/>
          <w:color w:val="000000"/>
          <w:sz w:val="24"/>
        </w:rPr>
        <w:t>. During the Executive’s employment hereunder, as compensation for all services performed by the Executive for the Company and its Affiliates, the Company will provide the Executive with the following compensation and benefits: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Base Salary</w:t>
      </w:r>
      <w:r>
        <w:rPr>
          <w:rFonts w:ascii="Times New Roman" w:hAnsi="Times New Roman"/>
          <w:color w:val="000000"/>
          <w:sz w:val="24"/>
        </w:rPr>
        <w:t>. The Company will pay the Executive a base salary at the rate of $675,000 per year (pro-rated for partial years of employment), in accordance with the regular payroll practices of the Company and subject to increase from time to time as 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Talent</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Compensation</w:t>
      </w:r>
      <w:r>
        <w:rPr>
          <w:color w:val="000000"/>
          <w:u w:val="single"/>
        </w:rPr>
        <w:t xml:space="preserve"> </w:t>
      </w:r>
      <w:r>
        <w:rPr>
          <w:rFonts w:ascii="Times New Roman" w:hAnsi="Times New Roman"/>
          <w:color w:val="000000"/>
          <w:sz w:val="24"/>
          <w:u w:val="single"/>
        </w:rPr>
        <w:t>Committee</w:t>
      </w:r>
      <w:r>
        <w:rPr>
          <w:color w:val="000000"/>
        </w:rPr>
        <w:t>”</w:t>
      </w:r>
      <w:r>
        <w:rPr>
          <w:rFonts w:ascii="Times New Roman" w:hAnsi="Times New Roman"/>
          <w:color w:val="000000"/>
          <w:sz w:val="24"/>
        </w:rPr>
        <w:t>) of the Board, in its sole discretion (with such base salary, as increased from time to time, the “</w:t>
      </w:r>
      <w:r>
        <w:rPr>
          <w:rFonts w:ascii="Times New Roman" w:hAnsi="Times New Roman"/>
          <w:color w:val="000000"/>
          <w:sz w:val="24"/>
          <w:u w:val="single"/>
        </w:rPr>
        <w:t>Base Salary</w:t>
      </w:r>
      <w:r>
        <w:rPr>
          <w:color w:val="000000"/>
        </w:rPr>
        <w:t>”</w:t>
      </w:r>
      <w:r>
        <w:rPr>
          <w:rFonts w:ascii="Times New Roman" w:hAnsi="Times New Roman"/>
          <w:color w:val="000000"/>
          <w:sz w:val="24"/>
        </w:rPr>
        <w:t>). Notwithstanding anything to the contrary in the foregoing, the Base Salary may be reduced, on a proportionate basis, in connection with an across-the-board base salary reduction applicable to all senior executives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Bonus Compensation</w:t>
      </w:r>
      <w:r>
        <w:rPr>
          <w:rFonts w:ascii="Times New Roman" w:hAnsi="Times New Roman"/>
          <w:color w:val="000000"/>
          <w:sz w:val="24"/>
        </w:rPr>
        <w:t>. For each fiscal year completed during the Executive’s employment under this Agreement, the Executive will be eligible to earn an annual bonus (each, an “</w:t>
      </w:r>
      <w:r>
        <w:rPr>
          <w:rFonts w:ascii="Times New Roman" w:hAnsi="Times New Roman"/>
          <w:color w:val="000000"/>
          <w:sz w:val="24"/>
          <w:u w:val="single"/>
        </w:rPr>
        <w:t>Annual Bonus</w:t>
      </w:r>
      <w:r>
        <w:rPr>
          <w:color w:val="000000"/>
        </w:rPr>
        <w:t>”</w:t>
      </w:r>
      <w:r>
        <w:rPr>
          <w:rFonts w:ascii="Times New Roman" w:hAnsi="Times New Roman"/>
          <w:color w:val="000000"/>
          <w:sz w:val="24"/>
        </w:rPr>
        <w:t>), pursuant to the Company’s bonus plan as in 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Bonus</w:t>
      </w:r>
      <w:r>
        <w:rPr>
          <w:color w:val="000000"/>
          <w:u w:val="single"/>
        </w:rPr>
        <w:t xml:space="preserve"> </w:t>
      </w:r>
      <w:r>
        <w:rPr>
          <w:rFonts w:ascii="Times New Roman" w:hAnsi="Times New Roman"/>
          <w:color w:val="000000"/>
          <w:sz w:val="24"/>
          <w:u w:val="single"/>
        </w:rPr>
        <w:t>Plan</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 60% of the Base Salary (the “</w:t>
      </w:r>
      <w:r>
        <w:rPr>
          <w:rFonts w:ascii="Times New Roman" w:hAnsi="Times New Roman"/>
          <w:color w:val="000000"/>
          <w:sz w:val="24"/>
          <w:u w:val="single"/>
        </w:rPr>
        <w:t>Target Bonus</w:t>
      </w:r>
      <w:r>
        <w:rPr>
          <w:color w:val="000000"/>
        </w:rPr>
        <w:t>”</w:t>
      </w:r>
      <w:r>
        <w:rPr>
          <w:rFonts w:ascii="Times New Roman" w:hAnsi="Times New Roman"/>
          <w:color w:val="000000"/>
          <w:sz w:val="24"/>
        </w:rPr>
        <w:t>), with the actual amount of any such Annual Bonus to be reasonably determined by the Compensation Committee in accordance with the Bonus Plan, based on the Executive’s performance and the Company’s performance against</w:t>
      </w:r>
      <w:r>
        <w:rPr>
          <w:color w:val="000000"/>
        </w:rPr>
        <w:t xml:space="preserve"> </w:t>
      </w:r>
      <w:r>
        <w:rPr>
          <w:rFonts w:ascii="Times New Roman" w:hAnsi="Times New Roman"/>
          <w:color w:val="000000"/>
          <w:sz w:val="24"/>
        </w:rPr>
        <w:t>goals</w:t>
      </w:r>
      <w:r>
        <w:rPr>
          <w:color w:val="000000"/>
        </w:rPr>
        <w:t xml:space="preserve"> </w:t>
      </w:r>
      <w:r>
        <w:rPr>
          <w:rFonts w:ascii="Times New Roman" w:hAnsi="Times New Roman"/>
          <w:color w:val="000000"/>
          <w:sz w:val="24"/>
        </w:rPr>
        <w:t>reasonably established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relevant</w:t>
      </w:r>
      <w:r>
        <w:rPr>
          <w:color w:val="000000"/>
        </w:rPr>
        <w:t xml:space="preserve"> </w:t>
      </w:r>
      <w:r>
        <w:rPr>
          <w:rFonts w:ascii="Times New Roman" w:hAnsi="Times New Roman"/>
          <w:color w:val="000000"/>
          <w:sz w:val="24"/>
        </w:rPr>
        <w:t>fiscal year.</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order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the Executive must be employed with the Company through the date on which such Annual Bonus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 Bonus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w:t>
      </w:r>
      <w:r>
        <w:rPr>
          <w:rFonts w:ascii="Times New Roman" w:hAnsi="Times New Roman"/>
          <w:color w:val="000000"/>
          <w:sz w:val="24"/>
        </w:rPr>
        <w:t>. The Executive will be eligible for grants of equity or equity-based awards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 at the discretion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Participation in Employee Benefit Plans</w:t>
      </w:r>
      <w:r>
        <w:rPr>
          <w:rFonts w:ascii="Times New Roman" w:hAnsi="Times New Roman"/>
          <w:color w:val="000000"/>
          <w:sz w:val="24"/>
        </w:rPr>
        <w:t>. The Executive will be entitled to participate in all Company employee benefit plans from time to time in effect for the Company’s senior executives of comparable status, except to the extent such plans are duplicative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 event this Agreement shall control unless this Agreement expressly provides otherwise.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participation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benefit</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applicable plan documents and generally applicable Company policies, as the same may be in effect from time to time, and any other restrictions or limitations imposed by law. Nothing in this Agreement shall preclude the Company from amending, terminating or replacing any of its plans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Paid Time Off</w:t>
      </w:r>
      <w:r>
        <w:rPr>
          <w:rFonts w:ascii="Times New Roman" w:hAnsi="Times New Roman"/>
          <w:color w:val="000000"/>
          <w:sz w:val="24"/>
        </w:rPr>
        <w:t>. The Executive will be entitled to paid time off (“</w:t>
      </w:r>
      <w:r>
        <w:rPr>
          <w:rFonts w:ascii="Times New Roman" w:hAnsi="Times New Roman"/>
          <w:color w:val="000000"/>
          <w:sz w:val="24"/>
          <w:u w:val="single"/>
        </w:rPr>
        <w:t>PTO</w:t>
      </w:r>
      <w:r>
        <w:rPr>
          <w:color w:val="000000"/>
        </w:rPr>
        <w:t>”</w:t>
      </w:r>
      <w:r>
        <w:rPr>
          <w:rFonts w:ascii="Times New Roman" w:hAnsi="Times New Roman"/>
          <w:color w:val="000000"/>
          <w:sz w:val="24"/>
        </w:rPr>
        <w:t>) in accordance with the policies of the Company as in effect for the Company’s senior executives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comparable</w:t>
      </w:r>
      <w:r>
        <w:rPr>
          <w:color w:val="000000"/>
        </w:rPr>
        <w:t xml:space="preserve"> </w:t>
      </w:r>
      <w:r>
        <w:rPr>
          <w:rFonts w:ascii="Times New Roman" w:hAnsi="Times New Roman"/>
          <w:color w:val="000000"/>
          <w:sz w:val="24"/>
        </w:rPr>
        <w:t>status,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 effect 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 PTO</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taken at</w:t>
      </w:r>
      <w:r>
        <w:rPr>
          <w:color w:val="000000"/>
        </w:rPr>
        <w:t xml:space="preserve"> </w:t>
      </w:r>
      <w:r>
        <w:rPr>
          <w:rFonts w:ascii="Times New Roman" w:hAnsi="Times New Roman"/>
          <w:color w:val="000000"/>
          <w:sz w:val="24"/>
        </w:rPr>
        <w:t>such times and intervals as the Executive shall determine, subject to the Company’s business needs.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Business Expenses</w:t>
      </w:r>
      <w:r>
        <w:rPr>
          <w:rFonts w:ascii="Times New Roman" w:hAnsi="Times New Roman"/>
          <w:color w:val="000000"/>
          <w:sz w:val="24"/>
        </w:rPr>
        <w:t>. The Company will pay or reimburse the Executive for all reasonable business expenses incurred or paid by the Executive in the performance of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policy as in effect from time to time and to such reasonable substantiation and documentation as 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 Company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 reimbursement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additional</w:t>
      </w:r>
      <w:r>
        <w:rPr>
          <w:color w:val="000000"/>
        </w:rPr>
        <w:t xml:space="preserve"> </w:t>
      </w:r>
      <w:r>
        <w:rPr>
          <w:rFonts w:ascii="Times New Roman" w:hAnsi="Times New Roman"/>
          <w:color w:val="000000"/>
          <w:sz w:val="24"/>
        </w:rPr>
        <w:t>rules: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the amount of</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affect the</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 (ii)</w:t>
      </w:r>
      <w:r>
        <w:rPr>
          <w:color w:val="000000"/>
        </w:rPr>
        <w:t xml:space="preserve"> </w:t>
      </w:r>
      <w:r>
        <w:rPr>
          <w:rFonts w:ascii="Times New Roman" w:hAnsi="Times New Roman"/>
          <w:color w:val="000000"/>
          <w:sz w:val="24"/>
        </w:rPr>
        <w:t>payment or reimbursement shall be made not later than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calendar year</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expense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incurred;</w:t>
      </w:r>
      <w:r>
        <w:rPr>
          <w:color w:val="000000"/>
        </w:rPr>
        <w:t xml:space="preserve"> </w:t>
      </w:r>
      <w:r>
        <w:rPr>
          <w:rFonts w:ascii="Times New Roman" w:hAnsi="Times New Roman"/>
          <w:color w:val="000000"/>
          <w:sz w:val="24"/>
        </w:rPr>
        <w:t>and (iii)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 to payment or</w:t>
      </w:r>
      <w:r>
        <w:rPr>
          <w:color w:val="000000"/>
        </w:rPr>
        <w:t xml:space="preserve"> </w:t>
      </w:r>
      <w:r>
        <w:rPr>
          <w:rFonts w:ascii="Times New Roman" w:hAnsi="Times New Roman"/>
          <w:color w:val="000000"/>
          <w:sz w:val="24"/>
        </w:rPr>
        <w:t>reimbursement shall not be</w:t>
      </w:r>
      <w:r>
        <w:rPr>
          <w:color w:val="000000"/>
        </w:rPr>
        <w:t xml:space="preserve"> </w:t>
      </w:r>
      <w:r>
        <w:rPr>
          <w:rFonts w:ascii="Times New Roman" w:hAnsi="Times New Roman"/>
          <w:color w:val="000000"/>
          <w:sz w:val="24"/>
        </w:rPr>
        <w:t>subject to liquidation or</w:t>
      </w:r>
      <w:r>
        <w:rPr>
          <w:color w:val="000000"/>
        </w:rPr>
        <w:t xml:space="preserve"> </w:t>
      </w:r>
      <w:r>
        <w:rPr>
          <w:rFonts w:ascii="Times New Roman" w:hAnsi="Times New Roman"/>
          <w:color w:val="000000"/>
          <w:sz w:val="24"/>
        </w:rPr>
        <w:t>exchange for any other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Key Man Life Insurance</w:t>
      </w:r>
      <w:r>
        <w:rPr>
          <w:rFonts w:ascii="Times New Roman" w:hAnsi="Times New Roman"/>
          <w:color w:val="000000"/>
          <w:sz w:val="24"/>
        </w:rPr>
        <w:t>. The Company shall have the right to insure the life of the Executive for the Company’s sole benefit, and if the Company exercises this right, the Company shall determine the amount of insurance and the type of policy obtained. The Executive shall reasonably cooperate with the Company in obtaining such insurance by submitting to reasonable physical examinations, supplying all information reasonably required by any insurance carrier and executing all necessary documents reasonably required by any insurance carrier; provided, that, any information provided to an insurance company or broker shall not be provided to the Company without the prior written authorization of the Executive. The Executive shall incur no financial obligation by executing any required document and shall have no interest in any such policy.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D&amp;O Insurance; Indemnification</w:t>
      </w:r>
      <w:r>
        <w:rPr>
          <w:rFonts w:ascii="Times New Roman" w:hAnsi="Times New Roman"/>
          <w:color w:val="000000"/>
          <w:sz w:val="24"/>
        </w:rPr>
        <w:t>. During the Executive’s period of employment with the Company and thereafter, the Company shall maintain D&amp;O insurance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customary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organization</w:t>
      </w:r>
      <w:r>
        <w:rPr>
          <w:color w:val="000000"/>
        </w:rPr>
        <w:t xml:space="preserve"> </w:t>
      </w:r>
      <w:r>
        <w:rPr>
          <w:rFonts w:ascii="Times New Roman" w:hAnsi="Times New Roman"/>
          <w:color w:val="000000"/>
          <w:sz w:val="24"/>
        </w:rPr>
        <w:t>similar to</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addition,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defend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indemnify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to the maximum extent allowable under its articles of organization, by-laws and charter and under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rPr>
        <w:t>Termination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Employment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 shall continue until terminated pursuant to this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By the Company for Cause</w:t>
      </w:r>
      <w:r>
        <w:rPr>
          <w:rFonts w:ascii="Times New Roman" w:hAnsi="Times New Roman"/>
          <w:color w:val="000000"/>
          <w:sz w:val="24"/>
        </w:rPr>
        <w:t>. The Company may terminate the Executive’s employment for Cause upon notice to the Executive setting forth in reasonable detail the nature of the Cause.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the occurrence of any of the following: (i) the Executive’s willful and repeated refusal to comply with a lawful directive of the Board (other than due to physical or mental incapacity), (ii) the Executive’s gross</w:t>
      </w:r>
      <w:r>
        <w:rPr>
          <w:color w:val="000000"/>
        </w:rPr>
        <w:t xml:space="preserve"> </w:t>
      </w:r>
      <w:r>
        <w:rPr>
          <w:rFonts w:ascii="Times New Roman" w:hAnsi="Times New Roman"/>
          <w:color w:val="000000"/>
          <w:sz w:val="24"/>
        </w:rPr>
        <w:t>negligence or</w:t>
      </w:r>
      <w:r>
        <w:rPr>
          <w:color w:val="000000"/>
        </w:rPr>
        <w:t xml:space="preserve"> </w:t>
      </w:r>
      <w:r>
        <w:rPr>
          <w:rFonts w:ascii="Times New Roman" w:hAnsi="Times New Roman"/>
          <w:color w:val="000000"/>
          <w:sz w:val="24"/>
        </w:rPr>
        <w:t>willful</w:t>
      </w:r>
      <w:r>
        <w:rPr>
          <w:color w:val="000000"/>
        </w:rPr>
        <w:t xml:space="preserve"> </w:t>
      </w:r>
      <w:r>
        <w:rPr>
          <w:rFonts w:ascii="Times New Roman" w:hAnsi="Times New Roman"/>
          <w:color w:val="000000"/>
          <w:sz w:val="24"/>
        </w:rPr>
        <w:t>misconduct in 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 the</w:t>
      </w:r>
      <w:r>
        <w:rPr>
          <w:color w:val="000000"/>
        </w:rPr>
        <w:t xml:space="preserve"> </w:t>
      </w:r>
      <w:r>
        <w:rPr>
          <w:rFonts w:ascii="Times New Roman" w:hAnsi="Times New Roman"/>
          <w:color w:val="000000"/>
          <w:sz w:val="24"/>
        </w:rPr>
        <w:t>Executive’s 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Affiliates,</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use of illegal drugs (whether or not at the workplace) or other similar conduct, even if not in conjunction with the Executive’s duties to the Company or any of its Affiliates, which could</w:t>
      </w:r>
      <w:r>
        <w:rPr>
          <w:color w:val="000000"/>
        </w:rPr>
        <w:t xml:space="preserve"> </w:t>
      </w:r>
      <w:r>
        <w:rPr>
          <w:rFonts w:ascii="Times New Roman" w:hAnsi="Times New Roman"/>
          <w:color w:val="000000"/>
          <w:sz w:val="24"/>
        </w:rPr>
        <w:t>reasonably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expected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does,</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Affiliates to public disgrace or disrepute or material economic harm; (iv) the Executive’s material and willful breach of (A) this Agreement, (B) any Restrictive Covenant Agreement (as defined below) or (C) any written Company policy or code of ethics or business conduct, 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position,</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 the Executive has received prior written notice, (v) the Executive’s indictment for (or procedural equivalent thereof), or plea of guilty or nolo contendere to (A) a felony or (B) any crime</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moral turpitude (other</w:t>
      </w:r>
      <w:r>
        <w:rPr>
          <w:color w:val="000000"/>
        </w:rPr>
        <w:t xml:space="preserve"> </w:t>
      </w:r>
      <w:r>
        <w:rPr>
          <w:rFonts w:ascii="Times New Roman" w:hAnsi="Times New Roman"/>
          <w:color w:val="000000"/>
          <w:sz w:val="24"/>
        </w:rPr>
        <w:t>than, in each case,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traffic related</w:t>
      </w:r>
      <w:r>
        <w:rPr>
          <w:color w:val="000000"/>
        </w:rPr>
        <w:t xml:space="preserve"> </w:t>
      </w:r>
      <w:r>
        <w:rPr>
          <w:rFonts w:ascii="Times New Roman" w:hAnsi="Times New Roman"/>
          <w:color w:val="000000"/>
          <w:sz w:val="24"/>
        </w:rPr>
        <w:t>offense); or (vi) fraud, theft, embezzlement, unlawful harassment or other intentional misconduct by the Executive that is or could reasonably be expected to be materially harmful to the business</w:t>
      </w:r>
      <w:r>
        <w:rPr>
          <w:color w:val="000000"/>
        </w:rPr>
        <w:t xml:space="preserve"> </w:t>
      </w:r>
      <w:r>
        <w:rPr>
          <w:rFonts w:ascii="Times New Roman" w:hAnsi="Times New Roman"/>
          <w:color w:val="000000"/>
          <w:sz w:val="24"/>
        </w:rPr>
        <w:t>interests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reputation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Affiliates.</w:t>
      </w:r>
      <w:r>
        <w:rPr>
          <w:color w:val="000000"/>
        </w:rPr>
        <w:t xml:space="preserve"> </w:t>
      </w:r>
      <w:r>
        <w:rPr>
          <w:rFonts w:ascii="Times New Roman" w:hAnsi="Times New Roman"/>
          <w:color w:val="000000"/>
          <w:sz w:val="24"/>
        </w:rPr>
        <w:t>Further,</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shall 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clauses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above,</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provides the Executive with written notice of the event(s) alleged to constitute Cause thereunder; and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event(s)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susceptible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cure,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fifteen</w:t>
      </w:r>
      <w:r>
        <w:rPr>
          <w:color w:val="000000"/>
        </w:rPr>
        <w:t xml:space="preserve"> </w:t>
      </w:r>
      <w:r>
        <w:rPr>
          <w:rFonts w:ascii="Times New Roman" w:hAnsi="Times New Roman"/>
          <w:color w:val="000000"/>
          <w:sz w:val="24"/>
        </w:rPr>
        <w:t>(15)-day</w:t>
      </w:r>
      <w:r>
        <w:rPr>
          <w:color w:val="000000"/>
        </w:rPr>
        <w:t xml:space="preserve"> </w:t>
      </w:r>
      <w:r>
        <w:rPr>
          <w:rFonts w:ascii="Times New Roman" w:hAnsi="Times New Roman"/>
          <w:color w:val="000000"/>
          <w:sz w:val="24"/>
        </w:rPr>
        <w:t>period 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cure</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event(s)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receipt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and the Executive fails to cure such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By the Company without Cause</w:t>
      </w:r>
      <w:r>
        <w:rPr>
          <w:rFonts w:ascii="Times New Roman" w:hAnsi="Times New Roman"/>
          <w:color w:val="000000"/>
          <w:sz w:val="24"/>
        </w:rPr>
        <w:t>. The Company may terminate the Executive’s employment at any time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By the Executive for Good Reason</w:t>
      </w:r>
      <w:r>
        <w:rPr>
          <w:rFonts w:ascii="Times New Roman" w:hAnsi="Times New Roman"/>
          <w:color w:val="000000"/>
          <w:sz w:val="24"/>
        </w:rPr>
        <w:t>. The Executive may terminate the Executive’s employment for Good Reason. For purposes of this Agreement, “</w:t>
      </w:r>
      <w:r>
        <w:rPr>
          <w:rFonts w:ascii="Times New Roman" w:hAnsi="Times New Roman"/>
          <w:color w:val="000000"/>
          <w:sz w:val="24"/>
          <w:u w:val="single"/>
        </w:rPr>
        <w:t>Good</w:t>
      </w:r>
      <w:r>
        <w:rPr>
          <w:color w:val="000000"/>
        </w:rPr>
        <w:t xml:space="preserve"> </w:t>
      </w:r>
      <w:r>
        <w:rPr>
          <w:rFonts w:ascii="Times New Roman" w:hAnsi="Times New Roman"/>
          <w:color w:val="000000"/>
          <w:sz w:val="24"/>
          <w:u w:val="single"/>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diminution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 or</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diminution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greater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applied across-the-board to all similarly-situated executives of the Company on a proportionate basis, (ii) any material diminution in the Executive’s titles, authority, duties or responsibilities, (iii) a permanent reassignment of the Executive’s primary office to a location</w:t>
      </w:r>
      <w:r>
        <w:rPr>
          <w:color w:val="000000"/>
        </w:rPr>
        <w:t xml:space="preserve"> </w:t>
      </w:r>
      <w:r>
        <w:rPr>
          <w:rFonts w:ascii="Times New Roman" w:hAnsi="Times New Roman"/>
          <w:color w:val="000000"/>
          <w:sz w:val="24"/>
        </w:rPr>
        <w:t>more</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thirty-five</w:t>
      </w:r>
      <w:r>
        <w:rPr>
          <w:color w:val="000000"/>
        </w:rPr>
        <w:t xml:space="preserve"> </w:t>
      </w:r>
      <w:r>
        <w:rPr>
          <w:rFonts w:ascii="Times New Roman" w:hAnsi="Times New Roman"/>
          <w:color w:val="000000"/>
          <w:sz w:val="24"/>
        </w:rPr>
        <w:t>(35)</w:t>
      </w:r>
      <w:r>
        <w:rPr>
          <w:color w:val="000000"/>
        </w:rPr>
        <w:t xml:space="preserve"> </w:t>
      </w:r>
      <w:r>
        <w:rPr>
          <w:rFonts w:ascii="Times New Roman" w:hAnsi="Times New Roman"/>
          <w:color w:val="000000"/>
          <w:sz w:val="24"/>
        </w:rPr>
        <w:t>miles</w:t>
      </w:r>
      <w:r>
        <w:rPr>
          <w:color w:val="000000"/>
        </w:rPr>
        <w:t xml:space="preserve"> </w:t>
      </w:r>
      <w:r>
        <w:rPr>
          <w:rFonts w:ascii="Times New Roman" w:hAnsi="Times New Roman"/>
          <w:color w:val="000000"/>
          <w:sz w:val="24"/>
        </w:rPr>
        <w:t>away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then-current</w:t>
      </w:r>
      <w:r>
        <w:rPr>
          <w:color w:val="000000"/>
        </w:rPr>
        <w:t xml:space="preserve"> </w:t>
      </w:r>
      <w:r>
        <w:rPr>
          <w:rFonts w:ascii="Times New Roman" w:hAnsi="Times New Roman"/>
          <w:color w:val="000000"/>
          <w:sz w:val="24"/>
        </w:rPr>
        <w:t xml:space="preserve">principal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place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clause (iii)</w:t>
      </w:r>
      <w:r>
        <w:rPr>
          <w:color w:val="000000"/>
        </w:rPr>
        <w:t xml:space="preserve"> </w:t>
      </w:r>
      <w:r>
        <w:rPr>
          <w:rFonts w:ascii="Times New Roman" w:hAnsi="Times New Roman"/>
          <w:color w:val="000000"/>
          <w:sz w:val="24"/>
        </w:rPr>
        <w:t>if the Executive is permitted to work remotely, in which case, any material adverse change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remote</w:t>
      </w:r>
      <w:r>
        <w:rPr>
          <w:color w:val="000000"/>
        </w:rPr>
        <w:t xml:space="preserve"> </w:t>
      </w:r>
      <w:r>
        <w:rPr>
          <w:rFonts w:ascii="Times New Roman" w:hAnsi="Times New Roman"/>
          <w:color w:val="000000"/>
          <w:sz w:val="24"/>
        </w:rPr>
        <w:t>work</w:t>
      </w:r>
      <w:r>
        <w:rPr>
          <w:color w:val="000000"/>
        </w:rPr>
        <w:t xml:space="preserve"> </w:t>
      </w:r>
      <w:r>
        <w:rPr>
          <w:rFonts w:ascii="Times New Roman" w:hAnsi="Times New Roman"/>
          <w:color w:val="000000"/>
          <w:sz w:val="24"/>
        </w:rPr>
        <w:t>arrangement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instead</w:t>
      </w:r>
      <w:r>
        <w:rPr>
          <w:color w:val="000000"/>
        </w:rPr>
        <w:t xml:space="preserve"> </w:t>
      </w:r>
      <w:r>
        <w:rPr>
          <w:rFonts w:ascii="Times New Roman" w:hAnsi="Times New Roman"/>
          <w:color w:val="000000"/>
          <w:sz w:val="24"/>
        </w:rPr>
        <w:t>constitute</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or (iv)</w:t>
      </w:r>
      <w:r>
        <w:rPr>
          <w:color w:val="000000"/>
        </w:rPr>
        <w:t xml:space="preserve"> </w:t>
      </w:r>
      <w:r>
        <w:rPr>
          <w:rFonts w:ascii="Times New Roman" w:hAnsi="Times New Roman"/>
          <w:color w:val="000000"/>
          <w:sz w:val="24"/>
        </w:rPr>
        <w:t>a material breach by the Company of this Agreement, any Restrictive Covenant Agreement or any of the Equity Documents (defined as the documents governing any equity or equity-based interests of the Company or any Affiliate thereof that are held by the Executive);</w:t>
      </w:r>
      <w:r>
        <w:rPr>
          <w:color w:val="000000"/>
        </w:rPr>
        <w:t xml:space="preserve">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 Executive has provided the Company with written notice of the event(s) alleged to constitute Good Reason within sixty (60) days after the date on which the Executive first obtains knowledge of the occurrence of the event(s) alleged to constitute Good Reason, and the Company has failed to cure such event(s) within thirty (30) days following its receipt of such written notice. The Executive may terminate the Executive’s employment 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(30)-day</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(30)-day</w:t>
      </w:r>
      <w:r>
        <w:rPr>
          <w:color w:val="000000"/>
        </w:rPr>
        <w:t xml:space="preserve"> </w:t>
      </w:r>
      <w:r>
        <w:rPr>
          <w:rFonts w:ascii="Times New Roman" w:hAnsi="Times New Roman"/>
          <w:color w:val="000000"/>
          <w:sz w:val="24"/>
        </w:rPr>
        <w:t>cure period has expired, and if the Executive fails to effect such a termination, then the Executive</w:t>
      </w:r>
      <w:r>
        <w:rPr>
          <w:color w:val="000000"/>
        </w:rPr>
        <w:t xml:space="preserve"> </w:t>
      </w:r>
      <w:r>
        <w:rPr>
          <w:rFonts w:ascii="Times New Roman" w:hAnsi="Times New Roman"/>
          <w:color w:val="000000"/>
          <w:sz w:val="24"/>
        </w:rPr>
        <w:t>will be</w:t>
      </w:r>
      <w:r>
        <w:rPr>
          <w:color w:val="000000"/>
        </w:rPr>
        <w:t xml:space="preserve"> </w:t>
      </w:r>
      <w:r>
        <w:rPr>
          <w:rFonts w:ascii="Times New Roman" w:hAnsi="Times New Roman"/>
          <w:color w:val="000000"/>
          <w:sz w:val="24"/>
        </w:rPr>
        <w:t>deemed to have</w:t>
      </w:r>
      <w:r>
        <w:rPr>
          <w:color w:val="000000"/>
        </w:rPr>
        <w:t xml:space="preserve"> </w:t>
      </w:r>
      <w:r>
        <w:rPr>
          <w:rFonts w:ascii="Times New Roman" w:hAnsi="Times New Roman"/>
          <w:color w:val="000000"/>
          <w:sz w:val="24"/>
        </w:rPr>
        <w:t>irrevocably waived the</w:t>
      </w:r>
      <w:r>
        <w:rPr>
          <w:color w:val="000000"/>
        </w:rPr>
        <w:t xml:space="preserve"> </w:t>
      </w:r>
      <w:r>
        <w:rPr>
          <w:rFonts w:ascii="Times New Roman" w:hAnsi="Times New Roman"/>
          <w:color w:val="000000"/>
          <w:sz w:val="24"/>
        </w:rPr>
        <w:t>right to resign 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 on the basis of such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By</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Executive</w:t>
      </w:r>
      <w:r>
        <w:rPr>
          <w:color w:val="000000"/>
          <w:u w:val="single"/>
        </w:rPr>
        <w:t xml:space="preserve"> </w:t>
      </w:r>
      <w:r>
        <w:rPr>
          <w:rFonts w:ascii="Times New Roman" w:hAnsi="Times New Roman"/>
          <w:color w:val="000000"/>
          <w:sz w:val="24"/>
          <w:u w:val="single"/>
        </w:rPr>
        <w:t>other</w:t>
      </w:r>
      <w:r>
        <w:rPr>
          <w:color w:val="000000"/>
          <w:u w:val="single"/>
        </w:rPr>
        <w:t xml:space="preserve"> </w:t>
      </w:r>
      <w:r>
        <w:rPr>
          <w:rFonts w:ascii="Times New Roman" w:hAnsi="Times New Roman"/>
          <w:color w:val="000000"/>
          <w:sz w:val="24"/>
          <w:u w:val="single"/>
        </w:rPr>
        <w:t>than</w:t>
      </w:r>
      <w:r>
        <w:rPr>
          <w:color w:val="000000"/>
          <w:u w:val="single"/>
        </w:rPr>
        <w:t xml:space="preserve"> </w:t>
      </w:r>
      <w:r>
        <w:rPr>
          <w:rFonts w:ascii="Times New Roman" w:hAnsi="Times New Roman"/>
          <w:color w:val="000000"/>
          <w:sz w:val="24"/>
          <w:u w:val="single"/>
        </w:rPr>
        <w:t>for</w:t>
      </w:r>
      <w:r>
        <w:rPr>
          <w:color w:val="000000"/>
          <w:u w:val="single"/>
        </w:rPr>
        <w:t xml:space="preserve"> </w:t>
      </w:r>
      <w:r>
        <w:rPr>
          <w:rFonts w:ascii="Times New Roman" w:hAnsi="Times New Roman"/>
          <w:color w:val="000000"/>
          <w:sz w:val="24"/>
          <w:u w:val="single"/>
        </w:rPr>
        <w:t>Good</w:t>
      </w:r>
      <w:r>
        <w:rPr>
          <w:color w:val="000000"/>
          <w:u w:val="single"/>
        </w:rPr>
        <w:t xml:space="preserve"> </w:t>
      </w:r>
      <w:r>
        <w:rPr>
          <w:rFonts w:ascii="Times New Roman" w:hAnsi="Times New Roman"/>
          <w:color w:val="000000"/>
          <w:sz w:val="24"/>
          <w:u w:val="single"/>
        </w:rPr>
        <w:t>Reason</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terminate the Executive’s employment at any time upon thirty (30) days’ written notice to the Company. In the event of such resignation, the Company may accelerate the date of the Executive’s termination without such acceleration constituting a termination by the Company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Death and Disability</w:t>
      </w:r>
      <w:r>
        <w:rPr>
          <w:rFonts w:ascii="Times New Roman" w:hAnsi="Times New Roman"/>
          <w:color w:val="000000"/>
          <w:sz w:val="24"/>
        </w:rPr>
        <w:t>. The Executive’s employment hereunder shall automatically terminate in the event of the Executive’s death during employment. The Company may terminate the Executive’s employment, upon written notice to the Executive, in the event that the Executive becomes disabled during the Executive’s employment hereunder through any illness, injury, accident or condition of either a physical or psychological nature, whereby, as a result, the Executive is unable to perform substantially all of the Executive’s duties and responsibilities hereunder, even with a reasonable</w:t>
      </w:r>
      <w:r>
        <w:rPr>
          <w:color w:val="000000"/>
        </w:rPr>
        <w:t xml:space="preserve"> </w:t>
      </w:r>
      <w:r>
        <w:rPr>
          <w:rFonts w:ascii="Times New Roman" w:hAnsi="Times New Roman"/>
          <w:color w:val="000000"/>
          <w:sz w:val="24"/>
        </w:rPr>
        <w:t>accommodation,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hundred</w:t>
      </w:r>
      <w:r>
        <w:rPr>
          <w:color w:val="000000"/>
        </w:rPr>
        <w:t xml:space="preserve"> </w:t>
      </w:r>
      <w:r>
        <w:rPr>
          <w:rFonts w:ascii="Times New Roman" w:hAnsi="Times New Roman"/>
          <w:color w:val="000000"/>
          <w:sz w:val="24"/>
        </w:rPr>
        <w:t>twenty</w:t>
      </w:r>
      <w:r>
        <w:rPr>
          <w:color w:val="000000"/>
        </w:rPr>
        <w:t xml:space="preserve"> </w:t>
      </w:r>
      <w:r>
        <w:rPr>
          <w:rFonts w:ascii="Times New Roman" w:hAnsi="Times New Roman"/>
          <w:color w:val="000000"/>
          <w:sz w:val="24"/>
        </w:rPr>
        <w:t>(120)</w:t>
      </w:r>
      <w:r>
        <w:rPr>
          <w:color w:val="000000"/>
        </w:rPr>
        <w:t xml:space="preserve"> </w:t>
      </w:r>
      <w:r>
        <w:rPr>
          <w:rFonts w:ascii="Times New Roman" w:hAnsi="Times New Roman"/>
          <w:color w:val="000000"/>
          <w:sz w:val="24"/>
        </w:rPr>
        <w:t>consecutive</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or one hundred and fifty (150) days (whether or not consecutive) during any period of three hundred sixty-five (365) consecutive days. If any question shall arise as to whether the 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disabled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unable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perform</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 of the Executive’s duties and responsibilities for the Company and its Affiliates, the 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request</w:t>
      </w:r>
      <w:r>
        <w:rPr>
          <w:color w:val="000000"/>
        </w:rPr>
        <w:t xml:space="preserve"> </w:t>
      </w:r>
      <w:r>
        <w:rPr>
          <w:rFonts w:ascii="Times New Roman" w:hAnsi="Times New Roman"/>
          <w:color w:val="000000"/>
          <w:sz w:val="24"/>
        </w:rPr>
        <w:t>and cost,</w:t>
      </w:r>
      <w:r>
        <w:rPr>
          <w:color w:val="000000"/>
        </w:rPr>
        <w:t xml:space="preserve"> </w:t>
      </w:r>
      <w:r>
        <w:rPr>
          <w:rFonts w:ascii="Times New Roman" w:hAnsi="Times New Roman"/>
          <w:color w:val="000000"/>
          <w:sz w:val="24"/>
        </w:rPr>
        <w:t>submit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medical</w:t>
      </w:r>
      <w:r>
        <w:rPr>
          <w:color w:val="000000"/>
        </w:rPr>
        <w:t xml:space="preserve"> </w:t>
      </w:r>
      <w:r>
        <w:rPr>
          <w:rFonts w:ascii="Times New Roman" w:hAnsi="Times New Roman"/>
          <w:color w:val="000000"/>
          <w:sz w:val="24"/>
        </w:rPr>
        <w:t>examination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 physician</w:t>
      </w:r>
      <w:r>
        <w:rPr>
          <w:color w:val="000000"/>
        </w:rPr>
        <w:t xml:space="preserve"> </w:t>
      </w:r>
      <w:r>
        <w:rPr>
          <w:rFonts w:ascii="Times New Roman" w:hAnsi="Times New Roman"/>
          <w:color w:val="000000"/>
          <w:sz w:val="24"/>
        </w:rPr>
        <w:t>selected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guardian,</w:t>
      </w:r>
      <w:r>
        <w:rPr>
          <w:color w:val="000000"/>
        </w:rPr>
        <w:t xml:space="preserve"> </w:t>
      </w:r>
      <w:r>
        <w:rPr>
          <w:rFonts w:ascii="Times New Roman" w:hAnsi="Times New Roman"/>
          <w:color w:val="000000"/>
          <w:sz w:val="24"/>
        </w:rPr>
        <w:t>if any, has no reasonable objection to determine whether the Executive is so disabled, and such</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conclusive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such a question arises and the Executive fails to submit to the requested medical examination, the Company’s good faith, reasonable determination of the issue shall be binding on the Executive.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pPr>
      <w:r>
        <w:rPr>
          <w:rFonts w:ascii="Times New Roman" w:hAnsi="Times New Roman"/>
          <w:b/>
          <w:color w:val="000000"/>
          <w:sz w:val="24"/>
        </w:rPr>
        <w:t>Other</w:t>
      </w:r>
      <w:r>
        <w:rPr>
          <w:color w:val="000000"/>
        </w:rPr>
        <w:t xml:space="preserve"> </w:t>
      </w:r>
      <w:r>
        <w:rPr>
          <w:rFonts w:ascii="Times New Roman" w:hAnsi="Times New Roman"/>
          <w:b/>
          <w:color w:val="000000"/>
          <w:sz w:val="24"/>
        </w:rPr>
        <w:t>Matters</w:t>
      </w:r>
      <w:r>
        <w:rPr>
          <w:color w:val="000000"/>
        </w:rPr>
        <w:t xml:space="preserve"> </w:t>
      </w:r>
      <w:r>
        <w:rPr>
          <w:rFonts w:ascii="Times New Roman" w:hAnsi="Times New Roman"/>
          <w:b/>
          <w:color w:val="000000"/>
          <w:sz w:val="24"/>
        </w:rPr>
        <w:t>Related to</w:t>
      </w:r>
      <w:r>
        <w:rPr>
          <w:color w:val="000000"/>
        </w:rPr>
        <w:t xml:space="preserve"> </w:t>
      </w:r>
      <w:r>
        <w:rPr>
          <w:rFonts w:ascii="Times New Roman" w:hAnsi="Times New Roman"/>
          <w:b/>
          <w:color w:val="000000"/>
          <w:sz w:val="24"/>
        </w:rPr>
        <w:t>Termination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Notice</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 Company or by Executive under Section 3 (other than termination due to Executive’s death)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communicated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hereto</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indicating</w:t>
      </w:r>
      <w:r>
        <w:rPr>
          <w:color w:val="000000"/>
        </w:rPr>
        <w:t xml:space="preserve"> </w:t>
      </w:r>
      <w:r>
        <w:rPr>
          <w:rFonts w:ascii="Times New Roman" w:hAnsi="Times New Roman"/>
          <w:color w:val="000000"/>
          <w:sz w:val="24"/>
        </w:rPr>
        <w:t>the specific</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relied</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setting</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reasonable detail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facts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circumstances</w:t>
      </w:r>
      <w:r>
        <w:rPr>
          <w:color w:val="000000"/>
        </w:rPr>
        <w:t xml:space="preserve"> </w:t>
      </w:r>
      <w:r>
        <w:rPr>
          <w:rFonts w:ascii="Times New Roman" w:hAnsi="Times New Roman"/>
          <w:color w:val="000000"/>
          <w:sz w:val="24"/>
        </w:rPr>
        <w:t>claimed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 employment under the provision so indicated, if applicable, and (iii) specifying a Termination Date (as defined below) which, if submitted by Executive, shall be at least thirty (30) days following the date of such notice (a “</w:t>
      </w:r>
      <w:r>
        <w:rPr>
          <w:rFonts w:ascii="Times New Roman" w:hAnsi="Times New Roman"/>
          <w:color w:val="000000"/>
          <w:sz w:val="24"/>
          <w:u w:val="single"/>
        </w:rPr>
        <w:t>Notice of Termination</w:t>
      </w:r>
      <w:r>
        <w:rPr>
          <w:color w:val="000000"/>
        </w:rPr>
        <w:t>”</w:t>
      </w:r>
      <w:r>
        <w:rPr>
          <w:rFonts w:ascii="Times New Roman" w:hAnsi="Times New Roman"/>
          <w:color w:val="000000"/>
          <w:sz w:val="24"/>
        </w:rPr>
        <w:t>); provided, however,</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delivers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the Company may, in its sole discretion, change the Termination Date to any date that occurs on or following the date of the Company’s receipt of such Notice of Termination and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 and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shall still be considered a termination by the Executive. A Notice of Termination submitted by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receives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Notice of Termination, or any date thereafter elected by the Company in its sole discretion. The failure by the Company or Executive to set forth in the Notice of Termination any fact or circumstance</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contributes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showing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waive</w:t>
      </w:r>
      <w:r>
        <w:rPr>
          <w:color w:val="000000"/>
        </w:rPr>
        <w:t xml:space="preserve"> </w:t>
      </w:r>
      <w:r>
        <w:rPr>
          <w:rFonts w:ascii="Times New Roman" w:hAnsi="Times New Roman"/>
          <w:color w:val="000000"/>
          <w:sz w:val="24"/>
        </w:rPr>
        <w:t>any right of such party hereunder or preclude such party from asserting such fact or circumstance in enforcing such party’s rights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Final Compensation</w:t>
      </w:r>
      <w:r>
        <w:rPr>
          <w:rFonts w:ascii="Times New Roman" w:hAnsi="Times New Roman"/>
          <w:color w:val="000000"/>
          <w:sz w:val="24"/>
        </w:rPr>
        <w:t>. In the event of a termination of the Executive’s employment with the Company, howsoever occurring, the Company shall pay to the Executive (i) any Base Salary earned through, but unpaid as of, the date on which the Executive’s employment</w:t>
      </w:r>
      <w:r>
        <w:rPr>
          <w:color w:val="000000"/>
        </w:rPr>
        <w:t xml:space="preserve"> </w:t>
      </w:r>
      <w:r>
        <w:rPr>
          <w:rFonts w:ascii="Times New Roman" w:hAnsi="Times New Roman"/>
          <w:color w:val="000000"/>
          <w:sz w:val="24"/>
        </w:rPr>
        <w:t>terminates (the “</w:t>
      </w:r>
      <w:r>
        <w:rPr>
          <w:rFonts w:ascii="Times New Roman" w:hAnsi="Times New Roman"/>
          <w:color w:val="000000"/>
          <w:sz w:val="24"/>
          <w:u w:val="single"/>
        </w:rPr>
        <w:t>Termination</w:t>
      </w:r>
      <w:r>
        <w:rPr>
          <w:color w:val="000000"/>
          <w:u w:val="single"/>
        </w:rPr>
        <w:t xml:space="preserve"> </w:t>
      </w:r>
      <w:r>
        <w:rPr>
          <w:rFonts w:ascii="Times New Roman" w:hAnsi="Times New Roman"/>
          <w:color w:val="000000"/>
          <w:sz w:val="24"/>
          <w:u w:val="single"/>
        </w:rPr>
        <w:t>Date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employment is terminated by the Company for Cause or by the Executive without Good Reason, any Annual Bonus earned in respect of a prior fiscal year which has not yet been paid as of the Termination Date, payable at such time as when such Annual Bonus would otherwise</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 Bonus</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requirement of continued employment, which payment shall occur no later than March 15 of the year following the year in which the Termination Date occurs; and (ii) reimbursement, in accordance with Section 2(f) hereof, for reasonable business expenses incurred by the Executive,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yet</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 Executive</w:t>
      </w:r>
      <w:r>
        <w:rPr>
          <w:color w:val="000000"/>
        </w:rPr>
        <w:t xml:space="preserve"> </w:t>
      </w:r>
      <w:r>
        <w:rPr>
          <w:rFonts w:ascii="Times New Roman" w:hAnsi="Times New Roman"/>
          <w:color w:val="000000"/>
          <w:sz w:val="24"/>
        </w:rPr>
        <w:t>submits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required</w:t>
      </w:r>
      <w:r>
        <w:rPr>
          <w:color w:val="000000"/>
        </w:rPr>
        <w:t xml:space="preserve"> </w:t>
      </w:r>
      <w:r>
        <w:rPr>
          <w:rFonts w:ascii="Times New Roman" w:hAnsi="Times New Roman"/>
          <w:color w:val="000000"/>
          <w:sz w:val="24"/>
        </w:rPr>
        <w:t>supporting</w:t>
      </w:r>
      <w:r>
        <w:rPr>
          <w:color w:val="000000"/>
        </w:rPr>
        <w:t xml:space="preserve"> </w:t>
      </w:r>
      <w:r>
        <w:rPr>
          <w:rFonts w:ascii="Times New Roman" w:hAnsi="Times New Roman"/>
          <w:color w:val="000000"/>
          <w:sz w:val="24"/>
        </w:rPr>
        <w:t>documentation</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sixty (60) days after the Termination Date, and provided further that such expenses are reimbursable under Company policies then in effect (all of the foregoing, “</w:t>
      </w:r>
      <w:r>
        <w:rPr>
          <w:rFonts w:ascii="Times New Roman" w:hAnsi="Times New Roman"/>
          <w:color w:val="000000"/>
          <w:sz w:val="24"/>
          <w:u w:val="single"/>
        </w:rPr>
        <w:t>Final</w:t>
      </w:r>
      <w:r>
        <w:rPr>
          <w:color w:val="000000"/>
        </w:rPr>
        <w:t xml:space="preserve"> </w:t>
      </w:r>
      <w:r>
        <w:rPr>
          <w:rFonts w:ascii="Times New Roman" w:hAnsi="Times New Roman"/>
          <w:color w:val="000000"/>
          <w:sz w:val="24"/>
          <w:u w:val="single"/>
        </w:rPr>
        <w:t>Compensation</w:t>
      </w:r>
      <w:r>
        <w:rPr>
          <w:color w:val="000000"/>
        </w:rPr>
        <w:t>”</w:t>
      </w:r>
      <w:r>
        <w:rPr>
          <w:rFonts w:ascii="Times New Roman" w:hAnsi="Times New Roman"/>
          <w:color w:val="000000"/>
          <w:sz w:val="24"/>
        </w:rPr>
        <w:t>). Except as otherwise provided in this Section 4(b), Final Compensation will be paid to the Executive within thirty (30) days following the Termination Date or such shorter period required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Benefits</w:t>
      </w:r>
      <w:r>
        <w:rPr>
          <w:color w:val="000000"/>
          <w:u w:val="single"/>
        </w:rPr>
        <w:t xml:space="preserve"> </w:t>
      </w:r>
      <w:r>
        <w:rPr>
          <w:rFonts w:ascii="Times New Roman" w:hAnsi="Times New Roman"/>
          <w:color w:val="000000"/>
          <w:sz w:val="24"/>
          <w:u w:val="single"/>
        </w:rPr>
        <w:t>upon</w:t>
      </w:r>
      <w:r>
        <w:rPr>
          <w:color w:val="000000"/>
          <w:u w:val="single"/>
        </w:rPr>
        <w:t xml:space="preserve"> </w:t>
      </w:r>
      <w:r>
        <w:rPr>
          <w:rFonts w:ascii="Times New Roman" w:hAnsi="Times New Roman"/>
          <w:color w:val="000000"/>
          <w:sz w:val="24"/>
          <w:u w:val="single"/>
        </w:rPr>
        <w:t>Termination</w:t>
      </w:r>
      <w:r>
        <w:rPr>
          <w:color w:val="000000"/>
          <w:u w:val="single"/>
        </w:rPr>
        <w:t xml:space="preserve"> </w:t>
      </w:r>
      <w:r>
        <w:rPr>
          <w:rFonts w:ascii="Times New Roman" w:hAnsi="Times New Roman"/>
          <w:color w:val="000000"/>
          <w:sz w:val="24"/>
          <w:u w:val="single"/>
        </w:rPr>
        <w:t>by</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Company</w:t>
      </w:r>
      <w:r>
        <w:rPr>
          <w:color w:val="000000"/>
          <w:u w:val="single"/>
        </w:rPr>
        <w:t xml:space="preserve"> </w:t>
      </w:r>
      <w:r>
        <w:rPr>
          <w:rFonts w:ascii="Times New Roman" w:hAnsi="Times New Roman"/>
          <w:color w:val="000000"/>
          <w:sz w:val="24"/>
          <w:u w:val="single"/>
        </w:rPr>
        <w:t>without</w:t>
      </w:r>
      <w:r>
        <w:rPr>
          <w:color w:val="000000"/>
          <w:u w:val="single"/>
        </w:rPr>
        <w:t xml:space="preserve"> </w:t>
      </w:r>
      <w:r>
        <w:rPr>
          <w:rFonts w:ascii="Times New Roman" w:hAnsi="Times New Roman"/>
          <w:color w:val="000000"/>
          <w:sz w:val="24"/>
          <w:u w:val="single"/>
        </w:rPr>
        <w:t>Cause</w:t>
      </w:r>
      <w:r>
        <w:rPr>
          <w:color w:val="000000"/>
          <w:u w:val="single"/>
        </w:rPr>
        <w:t xml:space="preserve"> </w:t>
      </w:r>
      <w:r>
        <w:rPr>
          <w:rFonts w:ascii="Times New Roman" w:hAnsi="Times New Roman"/>
          <w:color w:val="000000"/>
          <w:sz w:val="24"/>
          <w:u w:val="single"/>
        </w:rPr>
        <w:t>or</w:t>
      </w:r>
      <w:r>
        <w:rPr>
          <w:color w:val="000000"/>
          <w:u w:val="single"/>
        </w:rPr>
        <w:t xml:space="preserve"> </w:t>
      </w:r>
      <w:r>
        <w:rPr>
          <w:rFonts w:ascii="Times New Roman" w:hAnsi="Times New Roman"/>
          <w:color w:val="000000"/>
          <w:sz w:val="24"/>
          <w:u w:val="single"/>
        </w:rPr>
        <w:t>by</w:t>
      </w:r>
      <w:r>
        <w:rPr>
          <w:color w:val="000000"/>
        </w:rPr>
        <w:t xml:space="preserve"> </w:t>
      </w:r>
      <w:r>
        <w:rPr>
          <w:rFonts w:ascii="Times New Roman" w:hAnsi="Times New Roman"/>
          <w:color w:val="000000"/>
          <w:sz w:val="24"/>
          <w:u w:val="single"/>
        </w:rPr>
        <w:t>the Executive for Good Reason</w:t>
      </w:r>
      <w:r>
        <w:rPr>
          <w:rFonts w:ascii="Times New Roman" w:hAnsi="Times New Roman"/>
          <w:color w:val="000000"/>
          <w:sz w:val="24"/>
        </w:rPr>
        <w:t>. In the event of any termination of the Executive’s employment by the Company without Cause under Section 3(b) or by the Executive for Good Reason under Section</w:t>
      </w:r>
      <w:r>
        <w:rPr>
          <w:color w:val="000000"/>
        </w:rPr>
        <w:t xml:space="preserve"> </w:t>
      </w:r>
      <w:r>
        <w:rPr>
          <w:rFonts w:ascii="Times New Roman" w:hAnsi="Times New Roman"/>
          <w:color w:val="000000"/>
          <w:sz w:val="24"/>
        </w:rPr>
        <w:t>3(c), then, except as otherwise provided in Section 4(d), the Company will provide to</w:t>
      </w:r>
      <w:r>
        <w:rPr>
          <w:color w:val="000000"/>
        </w:rPr>
        <w:t xml:space="preserve"> </w:t>
      </w:r>
      <w:r>
        <w:rPr>
          <w:rFonts w:ascii="Times New Roman" w:hAnsi="Times New Roman"/>
          <w:color w:val="000000"/>
          <w:sz w:val="24"/>
        </w:rPr>
        <w:t>the Executive, in addition to Final Compensation, the following (the “</w:t>
      </w:r>
      <w:r>
        <w:rPr>
          <w:rFonts w:ascii="Times New Roman" w:hAnsi="Times New Roman"/>
          <w:color w:val="000000"/>
          <w:sz w:val="24"/>
          <w:u w:val="single"/>
        </w:rPr>
        <w:t>Non CIC Severance Benefits</w:t>
      </w:r>
      <w:r>
        <w:rPr>
          <w:color w:val="00000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triggered Good Reason) for a period of twenty-four (24) months following the Termination Date (“</w:t>
      </w:r>
      <w:r>
        <w:rPr>
          <w:rFonts w:ascii="Times New Roman" w:hAnsi="Times New Roman"/>
          <w:color w:val="000000"/>
          <w:sz w:val="24"/>
          <w:u w:val="single"/>
        </w:rPr>
        <w:t>Severance Period</w:t>
      </w:r>
      <w:r>
        <w:rPr>
          <w:color w:val="000000"/>
        </w:rPr>
        <w:t>”</w:t>
      </w:r>
      <w:r>
        <w:rPr>
          <w:rFonts w:ascii="Times New Roman" w:hAnsi="Times New Roman"/>
          <w:color w:val="000000"/>
          <w:sz w:val="24"/>
        </w:rPr>
        <w:t>), payable in substantially equal installments on the Company’s regularly scheduled salary payment dates in conformity with the Company’s general payroll practices as in effect from time to time (the “</w:t>
      </w:r>
      <w:r>
        <w:rPr>
          <w:rFonts w:ascii="Times New Roman" w:hAnsi="Times New Roman"/>
          <w:color w:val="000000"/>
          <w:sz w:val="24"/>
          <w:u w:val="single"/>
        </w:rPr>
        <w:t>Non-CIC Severance Payments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has not yet been paid as of the Termination Date, payable at such time as when such Annual Bonus</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 requirement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continued</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Final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a pro-rated Annual Bonus for the fiscal year in which the Termination Date occurs, determined by multiplying (A) the Annual Bonus that would have been due to the Executive for the entire fiscal year had the Executive’s employment not</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fraction,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numerator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that the Executive was employed with the Company during such fiscal year and the denominator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pro-rated 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pro-rated</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shall be payable in the ordinary course as set forth in Section 2(b); provided that such payment shall</w:t>
      </w:r>
      <w:r>
        <w:rPr>
          <w:color w:val="000000"/>
        </w:rPr>
        <w:t xml:space="preserve"> </w:t>
      </w:r>
      <w:r>
        <w:rPr>
          <w:rFonts w:ascii="Times New Roman" w:hAnsi="Times New Roman"/>
          <w:color w:val="000000"/>
          <w:sz w:val="24"/>
        </w:rPr>
        <w:t>occur</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March</w:t>
      </w:r>
      <w:r>
        <w:rPr>
          <w:color w:val="000000"/>
        </w:rPr>
        <w:t xml:space="preserve"> </w:t>
      </w:r>
      <w:r>
        <w:rPr>
          <w:rFonts w:ascii="Times New Roman" w:hAnsi="Times New Roman"/>
          <w:color w:val="000000"/>
          <w:sz w:val="24"/>
        </w:rPr>
        <w:t>15</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 Date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timely</w:t>
      </w:r>
      <w:r>
        <w:rPr>
          <w:color w:val="000000"/>
        </w:rPr>
        <w:t xml:space="preserve"> </w:t>
      </w:r>
      <w:r>
        <w:rPr>
          <w:rFonts w:ascii="Times New Roman" w:hAnsi="Times New Roman"/>
          <w:color w:val="000000"/>
          <w:sz w:val="24"/>
        </w:rPr>
        <w:t>elects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continue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dependents,</w:t>
      </w:r>
      <w:r>
        <w:rPr>
          <w:color w:val="000000"/>
        </w:rPr>
        <w:t xml:space="preserve"> </w:t>
      </w:r>
      <w:r>
        <w:rPr>
          <w:rFonts w:ascii="Times New Roman" w:hAnsi="Times New Roman"/>
          <w:color w:val="000000"/>
          <w:sz w:val="24"/>
        </w:rPr>
        <w:t>in the Company’s group health plans under the federal law known as “COBRA” or similar state law (together, “</w:t>
      </w:r>
      <w:r>
        <w:rPr>
          <w:rFonts w:ascii="Times New Roman" w:hAnsi="Times New Roman"/>
          <w:color w:val="000000"/>
          <w:sz w:val="24"/>
          <w:u w:val="single"/>
        </w:rPr>
        <w:t>COBRA</w:t>
      </w:r>
      <w:r>
        <w:rPr>
          <w:color w:val="000000"/>
        </w:rPr>
        <w:t>”</w:t>
      </w:r>
      <w:r>
        <w:rPr>
          <w:rFonts w:ascii="Times New Roman" w:hAnsi="Times New Roman"/>
          <w:color w:val="000000"/>
          <w:sz w:val="24"/>
        </w:rPr>
        <w:t>), the Company shall pay the Company’s portion of the contributions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behalf</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 the Executive’s eligible dependents, until the earlier of (A) the date that is eighteen (18) months following the Termination Date and (B) the date on which the Executive, and, if applicable, the Executive’s eligible dependents, cease to be eligible for such COBRA coverage under applicable law or plan terms (the “</w:t>
      </w:r>
      <w:r>
        <w:rPr>
          <w:rFonts w:ascii="Times New Roman" w:hAnsi="Times New Roman"/>
          <w:color w:val="000000"/>
          <w:sz w:val="24"/>
          <w:u w:val="single"/>
        </w:rPr>
        <w:t>Health Continuation Benefits</w:t>
      </w:r>
      <w:r>
        <w:rPr>
          <w:color w:val="000000"/>
        </w:rPr>
        <w:t>”</w:t>
      </w:r>
      <w:r>
        <w:rPr>
          <w:rFonts w:ascii="Times New Roman" w:hAnsi="Times New Roman"/>
          <w:color w:val="000000"/>
          <w:sz w:val="24"/>
        </w:rPr>
        <w:t>). The Company’s contribution to the costs of the Health Continuation Benefits shall be determined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contribution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Company-provided</w:t>
      </w:r>
      <w:r>
        <w:rPr>
          <w:color w:val="000000"/>
        </w:rPr>
        <w:t xml:space="preserve"> </w:t>
      </w:r>
      <w:r>
        <w:rPr>
          <w:rFonts w:ascii="Times New Roman" w:hAnsi="Times New Roman"/>
          <w:color w:val="000000"/>
          <w:sz w:val="24"/>
        </w:rPr>
        <w:t>health and dental insurance coverage for an active employee with the same coverage elections, determined as of the Termination Date and without taking into account an employee’s ability to make pre-tax deductions. The Executive shall be responsible for paying the remaining</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premiums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remained employed. The Executive authorizes the deduction of the portion for which the Executive is responsible from the after-tax amount of the Non-CIC Severance Payments or CIC Severance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this Section</w:t>
      </w:r>
      <w:r>
        <w:rPr>
          <w:color w:val="000000"/>
        </w:rPr>
        <w:t xml:space="preserve"> </w:t>
      </w:r>
      <w:r>
        <w:rPr>
          <w:rFonts w:ascii="Times New Roman" w:hAnsi="Times New Roman"/>
          <w:color w:val="000000"/>
          <w:sz w:val="24"/>
        </w:rPr>
        <w:t>4(c)(iv),</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commences</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enrolls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group health plan in connection with such new employment, the Health Continuation Benefits shall cease (and Executive agrees to promptly notify the Company of such enrollment);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rPr>
        <w:t>with respect to all unvested equity or</w:t>
      </w:r>
      <w:r>
        <w:rPr>
          <w:color w:val="000000"/>
        </w:rPr>
        <w:t xml:space="preserve"> </w:t>
      </w:r>
      <w:r>
        <w:rPr>
          <w:rFonts w:ascii="Times New Roman" w:hAnsi="Times New Roman"/>
          <w:color w:val="000000"/>
          <w:sz w:val="24"/>
        </w:rPr>
        <w:t>equity-based awards that vest solely</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passage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held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Company equity</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pro-rata</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 xml:space="preserve">then-current vesting tranche, with such pro-rata vesting determined based on the duration of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Executive’s employment with the Company from the last vesting date (or the vesting commencement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first</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yet</w:t>
      </w:r>
      <w:r>
        <w:rPr>
          <w:color w:val="000000"/>
        </w:rPr>
        <w:t xml:space="preserve"> </w:t>
      </w:r>
      <w:r>
        <w:rPr>
          <w:rFonts w:ascii="Times New Roman" w:hAnsi="Times New Roman"/>
          <w:color w:val="000000"/>
          <w:sz w:val="24"/>
        </w:rPr>
        <w:t>occurred)</w:t>
      </w:r>
      <w:r>
        <w:rPr>
          <w:color w:val="000000"/>
        </w:rPr>
        <w:t xml:space="preserve"> </w:t>
      </w:r>
      <w:r>
        <w:rPr>
          <w:rFonts w:ascii="Times New Roman" w:hAnsi="Times New Roman"/>
          <w:color w:val="000000"/>
          <w:sz w:val="24"/>
        </w:rPr>
        <w:t>through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 Date (with any such awards that vest in whole or in part based on the attainment of performance-vesting conditions being governed by the terms of the applicable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lieu of the payments and benefits set forth 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4(c), in the event of any termination of the Executive’s employment by the Company without Cause under Section 3(b) or by the Executive for Good Reason under Section</w:t>
      </w:r>
      <w:r>
        <w:rPr>
          <w:color w:val="000000"/>
        </w:rPr>
        <w:t xml:space="preserve"> </w:t>
      </w:r>
      <w:r>
        <w:rPr>
          <w:rFonts w:ascii="Times New Roman" w:hAnsi="Times New Roman"/>
          <w:color w:val="000000"/>
          <w:sz w:val="24"/>
        </w:rPr>
        <w:t>3(c),</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beginning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three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months 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twelve (12) months following the date of a Change in Control, the Company will provide to the Executive, in addition to Final Compensation, the following (together with the Non-CIC Severance Benefits, the “</w:t>
      </w:r>
      <w:r>
        <w:rPr>
          <w:rFonts w:ascii="Times New Roman" w:hAnsi="Times New Roman"/>
          <w:color w:val="000000"/>
          <w:sz w:val="24"/>
          <w:u w:val="single"/>
        </w:rPr>
        <w:t>Severance Benefits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an</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sum</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 twenty-four</w:t>
      </w:r>
      <w:r>
        <w:rPr>
          <w:color w:val="000000"/>
        </w:rPr>
        <w:t xml:space="preserve"> </w:t>
      </w:r>
      <w:r>
        <w:rPr>
          <w:rFonts w:ascii="Times New Roman" w:hAnsi="Times New Roman"/>
          <w:color w:val="000000"/>
          <w:sz w:val="24"/>
        </w:rPr>
        <w:t>(24)</w:t>
      </w:r>
      <w:r>
        <w:rPr>
          <w:color w:val="000000"/>
        </w:rPr>
        <w:t xml:space="preserve"> </w:t>
      </w:r>
      <w:r>
        <w:rPr>
          <w:rFonts w:ascii="Times New Roman" w:hAnsi="Times New Roman"/>
          <w:color w:val="000000"/>
          <w:sz w:val="24"/>
        </w:rPr>
        <w:t>months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triggered</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and (B)</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then-current</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Bonus (the</w:t>
      </w:r>
      <w:r>
        <w:rPr>
          <w:color w:val="000000"/>
        </w:rPr>
        <w:t xml:space="preserve"> “</w:t>
      </w:r>
      <w:r>
        <w:rPr>
          <w:rFonts w:ascii="Times New Roman" w:hAnsi="Times New Roman"/>
          <w:color w:val="000000"/>
          <w:sz w:val="24"/>
          <w:u w:val="single"/>
        </w:rPr>
        <w:t>CIC</w:t>
      </w:r>
      <w:r>
        <w:rPr>
          <w:color w:val="000000"/>
          <w:u w:val="single"/>
        </w:rPr>
        <w:t xml:space="preserve"> </w:t>
      </w: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Payment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 Section 4(e) below;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4(c)(ii);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4(c)(iv),</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this purpose,</w:t>
      </w:r>
      <w:r>
        <w:rPr>
          <w:color w:val="000000"/>
        </w:rPr>
        <w:t xml:space="preserve"> </w:t>
      </w:r>
      <w:r>
        <w:rPr>
          <w:rFonts w:ascii="Times New Roman" w:hAnsi="Times New Roman"/>
          <w:color w:val="000000"/>
          <w:sz w:val="24"/>
        </w:rPr>
        <w:t>clause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Health</w:t>
      </w:r>
      <w:r>
        <w:rPr>
          <w:color w:val="000000"/>
        </w:rPr>
        <w:t xml:space="preserve"> </w:t>
      </w:r>
      <w:r>
        <w:rPr>
          <w:rFonts w:ascii="Times New Roman" w:hAnsi="Times New Roman"/>
          <w:color w:val="000000"/>
          <w:sz w:val="24"/>
        </w:rPr>
        <w:t>Continuation</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 twenty-four (24) months following the Termination Date;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all</w:t>
      </w:r>
      <w:r>
        <w:rPr>
          <w:color w:val="000000"/>
        </w:rPr>
        <w:t xml:space="preserve"> </w:t>
      </w:r>
      <w:r>
        <w:rPr>
          <w:rFonts w:ascii="Times New Roman" w:hAnsi="Times New Roman"/>
          <w:color w:val="000000"/>
          <w:sz w:val="24"/>
        </w:rPr>
        <w:t>unvested</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equity-based</w:t>
      </w:r>
      <w:r>
        <w:rPr>
          <w:color w:val="000000"/>
        </w:rPr>
        <w:t xml:space="preserve"> </w:t>
      </w:r>
      <w:r>
        <w:rPr>
          <w:rFonts w:ascii="Times New Roman" w:hAnsi="Times New Roman"/>
          <w:color w:val="000000"/>
          <w:sz w:val="24"/>
        </w:rPr>
        <w:t>awards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 the passage of time and are then held by the Executive under any Company equity compensation plans shall immediately become 100% vested (with any such awards that vest in whole or in part based on the attainment of performance-vesting conditions being governed by the terms of the applicable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Conditions</w:t>
      </w:r>
      <w:r>
        <w:rPr>
          <w:color w:val="000000"/>
          <w:u w:val="single"/>
        </w:rPr>
        <w:t xml:space="preserve"> </w:t>
      </w:r>
      <w:r>
        <w:rPr>
          <w:rFonts w:ascii="Times New Roman" w:hAnsi="Times New Roman"/>
          <w:color w:val="000000"/>
          <w:sz w:val="24"/>
          <w:u w:val="single"/>
        </w:rPr>
        <w:t>to</w:t>
      </w:r>
      <w:r>
        <w:rPr>
          <w:color w:val="000000"/>
          <w:u w:val="single"/>
        </w:rPr>
        <w:t xml:space="preserve"> </w:t>
      </w:r>
      <w:r>
        <w:rPr>
          <w:rFonts w:ascii="Times New Roman" w:hAnsi="Times New Roman"/>
          <w:color w:val="000000"/>
          <w:sz w:val="24"/>
          <w:u w:val="single"/>
        </w:rPr>
        <w:t>and</w:t>
      </w:r>
      <w:r>
        <w:rPr>
          <w:color w:val="000000"/>
          <w:u w:val="single"/>
        </w:rPr>
        <w:t xml:space="preserve"> </w:t>
      </w:r>
      <w:r>
        <w:rPr>
          <w:rFonts w:ascii="Times New Roman" w:hAnsi="Times New Roman"/>
          <w:color w:val="000000"/>
          <w:sz w:val="24"/>
          <w:u w:val="single"/>
        </w:rPr>
        <w:t>Timing</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Benefits</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obligation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Company to provide the Severance Benefits to the Executive is conditioned on the Executive’s signing and returning to the Company, without subsequently revoking, a timely and effective separation agreement, containing a general release of claims, a reaffirmation of the Executive’s obligations under the applicable Restrictive Covenant Agreement and other customary terms, in substantially the form attached hereto as</w:t>
      </w:r>
      <w:r>
        <w:rPr>
          <w:color w:val="000000"/>
        </w:rPr>
        <w:t xml:space="preserve">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(the “</w:t>
      </w:r>
      <w:r>
        <w:rPr>
          <w:rFonts w:ascii="Times New Roman" w:hAnsi="Times New Roman"/>
          <w:color w:val="000000"/>
          <w:sz w:val="24"/>
          <w:u w:val="single"/>
        </w:rPr>
        <w:t>Separation Agreement</w:t>
      </w:r>
      <w:r>
        <w:rPr>
          <w:color w:val="000000"/>
        </w:rPr>
        <w:t>”</w:t>
      </w:r>
      <w:r>
        <w:rPr>
          <w:rFonts w:ascii="Times New Roman" w:hAnsi="Times New Roman"/>
          <w:color w:val="000000"/>
          <w:sz w:val="24"/>
        </w:rPr>
        <w:t>). The Executive must return to the Company and not revoke the Separation Agreement within the time period required by the Separation Agreement, and in any event, the Separation Agreement must become effective and irrevocable, if at all, by the sixtieth (60</w:t>
      </w:r>
      <w:r>
        <w:rPr>
          <w:rFonts w:ascii="Times New Roman" w:hAnsi="Times New Roman"/>
          <w:color w:val="000000"/>
          <w:sz w:val="16"/>
        </w:rPr>
        <w:t>th</w:t>
      </w:r>
      <w:r>
        <w:rPr>
          <w:rFonts w:ascii="Times New Roman" w:hAnsi="Times New Roman"/>
          <w:color w:val="000000"/>
          <w:sz w:val="24"/>
        </w:rPr>
        <w:t>) day following the Termination Date (with the 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Separation</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becomes</w:t>
      </w:r>
      <w:r>
        <w:rPr>
          <w:color w:val="000000"/>
        </w:rPr>
        <w:t xml:space="preserve"> </w:t>
      </w:r>
      <w:r>
        <w:rPr>
          <w:rFonts w:ascii="Times New Roman" w:hAnsi="Times New Roman"/>
          <w:color w:val="000000"/>
          <w:sz w:val="24"/>
        </w:rPr>
        <w:t>effective,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Release</w:t>
      </w:r>
      <w:r>
        <w:rPr>
          <w:color w:val="000000"/>
          <w:u w:val="single"/>
        </w:rPr>
        <w:t xml:space="preserve"> </w:t>
      </w:r>
      <w:r>
        <w:rPr>
          <w:rFonts w:ascii="Times New Roman" w:hAnsi="Times New Roman"/>
          <w:color w:val="000000"/>
          <w:sz w:val="24"/>
          <w:u w:val="single"/>
        </w:rPr>
        <w:t>Effective</w:t>
      </w:r>
      <w:r>
        <w:rPr>
          <w:color w:val="000000"/>
          <w:u w:val="single"/>
        </w:rPr>
        <w:t xml:space="preserve"> </w:t>
      </w:r>
      <w:r>
        <w:rPr>
          <w:rFonts w:ascii="Times New Roman" w:hAnsi="Times New Roman"/>
          <w:color w:val="000000"/>
          <w:sz w:val="24"/>
          <w:u w:val="single"/>
        </w:rPr>
        <w:t>Date</w:t>
      </w:r>
      <w:r>
        <w:rPr>
          <w:color w:val="000000"/>
        </w:rPr>
        <w:t>”</w:t>
      </w:r>
      <w:r>
        <w:rPr>
          <w:rFonts w:ascii="Times New Roman" w:hAnsi="Times New Roman"/>
          <w:color w:val="000000"/>
          <w:sz w:val="24"/>
        </w:rPr>
        <w:t xml:space="preserve">). The first Non-CIC Severance Payment, if applicable, will be made within sixty (60) days after the Termination Date, on the first regularly scheduled payroll date of the Company that occurs following the Release Effective Date. The CIC Severance Payment, if applicable, will be paid in a single lump sum within sixty (60) days following the later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Termination Date and the date of the Change in Control. Notwithstanding the foregoing, if the sixty (60)-day period begins in one calendar year and ends in a second calendar year, the Non-CIC Severance Payments or the CIC Severance Payments, as applicable,</w:t>
      </w:r>
      <w:r>
        <w:rPr>
          <w:color w:val="000000"/>
        </w:rPr>
        <w:t xml:space="preserve"> </w:t>
      </w:r>
      <w:r>
        <w:rPr>
          <w:rFonts w:ascii="Times New Roman" w:hAnsi="Times New Roman"/>
          <w:color w:val="000000"/>
          <w:sz w:val="24"/>
        </w:rPr>
        <w:t>to the extent</w:t>
      </w:r>
      <w:r>
        <w:rPr>
          <w:color w:val="000000"/>
        </w:rPr>
        <w:t xml:space="preserve"> </w:t>
      </w:r>
      <w:r>
        <w:rPr>
          <w:rFonts w:ascii="Times New Roman" w:hAnsi="Times New Roman"/>
          <w:color w:val="000000"/>
          <w:sz w:val="24"/>
        </w:rPr>
        <w:t>they</w:t>
      </w:r>
      <w:r>
        <w:rPr>
          <w:color w:val="000000"/>
        </w:rPr>
        <w:t xml:space="preserve"> </w:t>
      </w:r>
      <w:r>
        <w:rPr>
          <w:rFonts w:ascii="Times New Roman" w:hAnsi="Times New Roman"/>
          <w:color w:val="000000"/>
          <w:sz w:val="24"/>
        </w:rPr>
        <w:t>qualify</w:t>
      </w:r>
      <w:r>
        <w:rPr>
          <w:color w:val="000000"/>
        </w:rPr>
        <w:t xml:space="preserve"> </w:t>
      </w:r>
      <w:r>
        <w:rPr>
          <w:rFonts w:ascii="Times New Roman" w:hAnsi="Times New Roman"/>
          <w:color w:val="000000"/>
          <w:sz w:val="24"/>
        </w:rPr>
        <w:t>as “non-qualified</w:t>
      </w:r>
      <w:r>
        <w:rPr>
          <w:color w:val="000000"/>
        </w:rPr>
        <w:t xml:space="preserve"> </w:t>
      </w:r>
      <w:r>
        <w:rPr>
          <w:rFonts w:ascii="Times New Roman" w:hAnsi="Times New Roman"/>
          <w:color w:val="000000"/>
          <w:sz w:val="24"/>
        </w:rPr>
        <w:t>deferred</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 meaning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second</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and provided,</w:t>
      </w:r>
      <w:r>
        <w:rPr>
          <w:color w:val="000000"/>
        </w:rPr>
        <w:t xml:space="preserve"> </w:t>
      </w:r>
      <w:r>
        <w:rPr>
          <w:rFonts w:ascii="Times New Roman" w:hAnsi="Times New Roman"/>
          <w:color w:val="000000"/>
          <w:sz w:val="24"/>
        </w:rPr>
        <w:t>further,</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Non-CIC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catch-up payment to cover amounts retroactive to the day following the Termination Date. If the 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three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month</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Change 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Non-CIC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 Section</w:t>
      </w:r>
      <w:r>
        <w:rPr>
          <w:color w:val="000000"/>
        </w:rPr>
        <w:t xml:space="preserve"> </w:t>
      </w:r>
      <w:r>
        <w:rPr>
          <w:rFonts w:ascii="Times New Roman" w:hAnsi="Times New Roman"/>
          <w:color w:val="000000"/>
          <w:sz w:val="24"/>
        </w:rPr>
        <w:t>4(c)(i)</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4(d)(i)</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 that exceed what Executive received as a Non-CIC Severance Payment will be paid in a lump</w:t>
      </w:r>
      <w:r>
        <w:rPr>
          <w:color w:val="000000"/>
        </w:rPr>
        <w:t xml:space="preserve"> </w:t>
      </w:r>
      <w:r>
        <w:rPr>
          <w:rFonts w:ascii="Times New Roman" w:hAnsi="Times New Roman"/>
          <w:color w:val="000000"/>
          <w:sz w:val="24"/>
        </w:rPr>
        <w:t>sum</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sixty</w:t>
      </w:r>
      <w:r>
        <w:rPr>
          <w:color w:val="000000"/>
        </w:rPr>
        <w:t xml:space="preserve"> </w:t>
      </w:r>
      <w:r>
        <w:rPr>
          <w:rFonts w:ascii="Times New Roman" w:hAnsi="Times New Roman"/>
          <w:color w:val="000000"/>
          <w:sz w:val="24"/>
        </w:rPr>
        <w:t>(60)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ten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after the date of the Change in Control. Notwithstanding the foregoing, in the event that the Company’s payment of the Health Continuation Benefits would subject the Company or the Executive to any tax or penalty under Section 105(h)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the Patient Protection and Affordable Care Act, as amended, any regulations or guidance issued thereunder, or any other applicable law, in each case, as determined by the Company, the Executive and the Company shall work together in good faith to restructure such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Benefits Termination</w:t>
      </w:r>
      <w:r>
        <w:rPr>
          <w:rFonts w:ascii="Times New Roman" w:hAnsi="Times New Roman"/>
          <w:color w:val="000000"/>
          <w:sz w:val="24"/>
        </w:rPr>
        <w:t>. Except for any right the Executive may have under COBRA or other applicable law to continue participation in the Company’s group health and</w:t>
      </w:r>
      <w:r>
        <w:rPr>
          <w:color w:val="000000"/>
        </w:rPr>
        <w:t xml:space="preserve"> </w:t>
      </w:r>
      <w:r>
        <w:rPr>
          <w:rFonts w:ascii="Times New Roman" w:hAnsi="Times New Roman"/>
          <w:color w:val="000000"/>
          <w:sz w:val="24"/>
        </w:rPr>
        <w:t>dental</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cost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 Section</w:t>
      </w:r>
      <w:r>
        <w:rPr>
          <w:color w:val="000000"/>
        </w:rPr>
        <w:t xml:space="preserve"> </w:t>
      </w:r>
      <w:r>
        <w:rPr>
          <w:rFonts w:ascii="Times New Roman" w:hAnsi="Times New Roman"/>
          <w:color w:val="000000"/>
          <w:sz w:val="24"/>
        </w:rPr>
        <w:t>4(c)(iv) or Section</w:t>
      </w:r>
      <w:r>
        <w:rPr>
          <w:color w:val="000000"/>
        </w:rPr>
        <w:t xml:space="preserve"> </w:t>
      </w:r>
      <w:r>
        <w:rPr>
          <w:rFonts w:ascii="Times New Roman" w:hAnsi="Times New Roman"/>
          <w:color w:val="000000"/>
          <w:sz w:val="24"/>
        </w:rPr>
        <w:t>4(d)(iii) of this Agreement, the Executive’s participation in all employee benefit plans shall terminate in accordance with the terms of the applicable benefit plans based on the Termination Date, without regard to any continuation of the Base Salary or other payment to the Executive following termination of the Executive’s employment, and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 not be</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PTO</w:t>
      </w:r>
      <w:r>
        <w:rPr>
          <w:color w:val="000000"/>
        </w:rPr>
        <w:t xml:space="preserve"> </w:t>
      </w:r>
      <w:r>
        <w:rPr>
          <w:rFonts w:ascii="Times New Roman" w:hAnsi="Times New Roman"/>
          <w:color w:val="000000"/>
          <w:sz w:val="24"/>
        </w:rPr>
        <w:t>following the</w:t>
      </w:r>
      <w:r>
        <w:rPr>
          <w:color w:val="000000"/>
        </w:rPr>
        <w:t xml:space="preserve"> </w:t>
      </w:r>
      <w:r>
        <w:rPr>
          <w:rFonts w:ascii="Times New Roman" w:hAnsi="Times New Roman"/>
          <w:color w:val="000000"/>
          <w:sz w:val="24"/>
        </w:rPr>
        <w:t>termination of the Executive’s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Survival</w:t>
      </w:r>
      <w:r>
        <w:rPr>
          <w:rFonts w:ascii="Times New Roman" w:hAnsi="Times New Roman"/>
          <w:color w:val="000000"/>
          <w:sz w:val="24"/>
        </w:rPr>
        <w:t>. Provisions of this Agreement shall survive any termination of employment if so provided in this Agreement or if necessary or desirable to accomplish the purposes of other surviving provisions, including, without limitation, the Executive’s obligations under the applicable Restrictive Covenant Agreement and the Company’s obligations under Section 4. The obligation of the Company to make payments to the Executive under Section</w:t>
      </w:r>
      <w:r>
        <w:rPr>
          <w:color w:val="000000"/>
        </w:rPr>
        <w:t xml:space="preserve"> </w:t>
      </w:r>
      <w:r>
        <w:rPr>
          <w:rFonts w:ascii="Times New Roman" w:hAnsi="Times New Roman"/>
          <w:color w:val="000000"/>
          <w:sz w:val="24"/>
        </w:rPr>
        <w:t>4 are expressly conditioned upon the Executive’s continued 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arrangement</w:t>
      </w:r>
      <w:r>
        <w:rPr>
          <w:color w:val="000000"/>
        </w:rPr>
        <w:t xml:space="preserve"> </w:t>
      </w:r>
      <w:r>
        <w:rPr>
          <w:rFonts w:ascii="Times New Roman" w:hAnsi="Times New Roman"/>
          <w:color w:val="000000"/>
          <w:sz w:val="24"/>
        </w:rPr>
        <w:t>subjecting the Executive to restrictive covenants, including, without limitation any such agreement appended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(collectively,</w:t>
      </w:r>
      <w:r>
        <w:rPr>
          <w:color w:val="000000"/>
        </w:rPr>
        <w:t xml:space="preserve"> “</w:t>
      </w:r>
      <w:r>
        <w:rPr>
          <w:rFonts w:ascii="Times New Roman" w:hAnsi="Times New Roman"/>
          <w:color w:val="000000"/>
          <w:sz w:val="24"/>
          <w:u w:val="single"/>
        </w:rPr>
        <w:t>Restrictive</w:t>
      </w:r>
      <w:r>
        <w:rPr>
          <w:color w:val="000000"/>
          <w:u w:val="single"/>
        </w:rPr>
        <w:t xml:space="preserve"> </w:t>
      </w:r>
      <w:r>
        <w:rPr>
          <w:rFonts w:ascii="Times New Roman" w:hAnsi="Times New Roman"/>
          <w:color w:val="000000"/>
          <w:sz w:val="24"/>
          <w:u w:val="single"/>
        </w:rPr>
        <w:t>Covenant</w:t>
      </w:r>
      <w:r>
        <w:rPr>
          <w:color w:val="000000"/>
          <w:u w:val="single"/>
        </w:rPr>
        <w:t xml:space="preserve"> </w:t>
      </w:r>
      <w:r>
        <w:rPr>
          <w:rFonts w:ascii="Times New Roman" w:hAnsi="Times New Roman"/>
          <w:color w:val="000000"/>
          <w:sz w:val="24"/>
          <w:u w:val="single"/>
        </w:rPr>
        <w:t>Agreement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Executive acknowledges that Executive remains bound by the Restrictive Covenant Agreement, which is incorporated by reference herein. Upon termination of employment by</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cease,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 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Restrictive</w:t>
      </w:r>
      <w:r>
        <w:rPr>
          <w:color w:val="000000"/>
        </w:rPr>
        <w:t xml:space="preserve"> </w:t>
      </w:r>
      <w:r>
        <w:rPr>
          <w:rFonts w:ascii="Times New Roman" w:hAnsi="Times New Roman"/>
          <w:color w:val="000000"/>
          <w:sz w:val="24"/>
        </w:rPr>
        <w:t>Covenant</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Documents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 applicable, the Separation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Deemed</w:t>
      </w:r>
      <w:r>
        <w:rPr>
          <w:color w:val="000000"/>
          <w:u w:val="single"/>
        </w:rPr>
        <w:t xml:space="preserve"> </w:t>
      </w:r>
      <w:r>
        <w:rPr>
          <w:rFonts w:ascii="Times New Roman" w:hAnsi="Times New Roman"/>
          <w:color w:val="000000"/>
          <w:sz w:val="24"/>
          <w:u w:val="single"/>
        </w:rPr>
        <w:t>Resignation</w:t>
      </w:r>
      <w:r>
        <w:rPr>
          <w:rFonts w:ascii="Times New Roman" w:hAnsi="Times New Roman"/>
          <w:color w:val="000000"/>
          <w:sz w:val="24"/>
        </w:rPr>
        <w:t>.</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any reason, Executive shall be deemed to have resigned from all offices and directorships, if any,</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held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subsidiaries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affiliates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agrees to execute any documentation (including, without limitation, resignation letters) reasonably requested by the Company to document any such resignation.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pPr>
      <w:r>
        <w:rPr>
          <w:rFonts w:ascii="Times New Roman" w:hAnsi="Times New Roman"/>
          <w:b/>
          <w:color w:val="000000"/>
          <w:sz w:val="24"/>
        </w:rPr>
        <w:t>Timing</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Payments</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Section</w:t>
      </w:r>
      <w:r>
        <w:rPr>
          <w:color w:val="000000"/>
        </w:rPr>
        <w:t xml:space="preserve"> </w:t>
      </w:r>
      <w:r>
        <w:rPr>
          <w:rFonts w:ascii="Times New Roman" w:hAnsi="Times New Roman"/>
          <w:b/>
          <w:color w:val="000000"/>
          <w:sz w:val="24"/>
        </w:rPr>
        <w:t>409A</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intended to</w:t>
      </w:r>
      <w:r>
        <w:rPr>
          <w:color w:val="000000"/>
        </w:rPr>
        <w:t xml:space="preserve"> </w:t>
      </w:r>
      <w:r>
        <w:rPr>
          <w:rFonts w:ascii="Times New Roman" w:hAnsi="Times New Roman"/>
          <w:color w:val="000000"/>
          <w:sz w:val="24"/>
        </w:rPr>
        <w:t>comply</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exempt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amended,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Treasury Regulations and other guidance promulgated thereunder (collectively, “</w:t>
      </w:r>
      <w:r>
        <w:rPr>
          <w:rFonts w:ascii="Times New Roman" w:hAnsi="Times New Roman"/>
          <w:color w:val="000000"/>
          <w:sz w:val="24"/>
          <w:u w:val="single"/>
        </w:rPr>
        <w:t>Section</w:t>
      </w:r>
      <w:r>
        <w:rPr>
          <w:color w:val="000000"/>
          <w:u w:val="single"/>
        </w:rPr>
        <w:t xml:space="preserve"> </w:t>
      </w:r>
      <w:r>
        <w:rPr>
          <w:rFonts w:ascii="Times New Roman" w:hAnsi="Times New Roman"/>
          <w:color w:val="000000"/>
          <w:sz w:val="24"/>
          <w:u w:val="single"/>
        </w:rPr>
        <w:t>409A</w:t>
      </w:r>
      <w:r>
        <w:rPr>
          <w:color w:val="000000"/>
        </w:rPr>
        <w:t>”</w:t>
      </w:r>
      <w:r>
        <w:rPr>
          <w:rFonts w:ascii="Times New Roman" w:hAnsi="Times New Roman"/>
          <w:color w:val="000000"/>
          <w:sz w:val="24"/>
        </w:rPr>
        <w:t>), and shall be interpreted and construed in accordance with such intent.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Notwithstanding anything to the contrary in this Agreement, if, as of the Termination Date, the Executive is a “specified employee,” as defined below, any and all amounts payable under this Agreement on account of such separation from service that would</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six</w:t>
      </w:r>
      <w:r>
        <w:rPr>
          <w:color w:val="000000"/>
        </w:rPr>
        <w:t xml:space="preserve"> </w:t>
      </w:r>
      <w:r>
        <w:rPr>
          <w:rFonts w:ascii="Times New Roman" w:hAnsi="Times New Roman"/>
          <w:color w:val="000000"/>
          <w:sz w:val="24"/>
        </w:rPr>
        <w:t>(6)</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 Date shall instead be paid on the next business day following the expiration of such six (6)-month period or, if earlier, upon the Executive’s death, except (i) to the extent of amounts that do not constitute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deferral of</w:t>
      </w:r>
      <w:r>
        <w:rPr>
          <w:color w:val="000000"/>
        </w:rPr>
        <w:t xml:space="preserve"> </w:t>
      </w:r>
      <w:r>
        <w:rPr>
          <w:rFonts w:ascii="Times New Roman" w:hAnsi="Times New Roman"/>
          <w:color w:val="000000"/>
          <w:sz w:val="24"/>
        </w:rPr>
        <w:t>compensation within the</w:t>
      </w:r>
      <w:r>
        <w:rPr>
          <w:color w:val="000000"/>
        </w:rPr>
        <w:t xml:space="preserve"> </w:t>
      </w:r>
      <w:r>
        <w:rPr>
          <w:rFonts w:ascii="Times New Roman" w:hAnsi="Times New Roman"/>
          <w:color w:val="000000"/>
          <w:sz w:val="24"/>
        </w:rPr>
        <w:t>meaning of</w:t>
      </w:r>
      <w:r>
        <w:rPr>
          <w:color w:val="000000"/>
        </w:rPr>
        <w:t xml:space="preserve"> </w:t>
      </w:r>
      <w:r>
        <w:rPr>
          <w:rFonts w:ascii="Times New Roman" w:hAnsi="Times New Roman"/>
          <w:color w:val="000000"/>
          <w:sz w:val="24"/>
        </w:rPr>
        <w:t>Treasury 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1.409A-1(b)</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limitation,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safe</w:t>
      </w:r>
      <w:r>
        <w:rPr>
          <w:color w:val="000000"/>
        </w:rPr>
        <w:t xml:space="preserve"> </w:t>
      </w:r>
      <w:r>
        <w:rPr>
          <w:rFonts w:ascii="Times New Roman" w:hAnsi="Times New Roman"/>
          <w:color w:val="000000"/>
          <w:sz w:val="24"/>
        </w:rPr>
        <w:t>harbor set forth in Treasury Regulation Section 1.409A-1(b)(9)(iii), as determined by the Company in its reasonable good faith discretion); (ii) benefits which qualify as excepted welfare benefits pursuant to Treasury Regulation Section 1.409A-1(a)(5); or (iii) other amounts or benefits that are not subject to the requirements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For purposes of this Agreement, all references to “termination of employment” and correlative phrases shall be construed to require a “separation from service”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1.409A-1(h)</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 to the presumptions contained therein), and the term “specified employee” means an individual determined by the Company to be a specified employee under Treasury Regulation Section 1.409A-1(i).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payment made under this Agreement shall be treated as a separate payment, and the right to a series of installment payments under this Agreement is to be treated as a right to a series of separate payments.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In no event shall the Company or any Person affiliated with the Company have any liability relating to the</w:t>
      </w:r>
      <w:r>
        <w:rPr>
          <w:color w:val="000000"/>
        </w:rPr>
        <w:t xml:space="preserve"> </w:t>
      </w:r>
      <w:r>
        <w:rPr>
          <w:rFonts w:ascii="Times New Roman" w:hAnsi="Times New Roman"/>
          <w:color w:val="000000"/>
          <w:sz w:val="24"/>
        </w:rPr>
        <w:t>failure or alleged failure of any payment or</w:t>
      </w:r>
      <w:r>
        <w:rPr>
          <w:color w:val="000000"/>
        </w:rPr>
        <w:t xml:space="preserve"> </w:t>
      </w:r>
      <w:r>
        <w:rPr>
          <w:rFonts w:ascii="Times New Roman" w:hAnsi="Times New Roman"/>
          <w:color w:val="000000"/>
          <w:sz w:val="24"/>
        </w:rPr>
        <w:t>benefit under this Agreement to comply with, or be exempt from, the requirements of Section 409A.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pPr>
      <w:r>
        <w:rPr>
          <w:rFonts w:ascii="Times New Roman" w:hAnsi="Times New Roman"/>
          <w:b/>
          <w:color w:val="000000"/>
          <w:sz w:val="24"/>
        </w:rPr>
        <w:t>Definitions</w:t>
      </w:r>
      <w:r>
        <w:rPr>
          <w:rFonts w:ascii="Times New Roman" w:hAnsi="Times New Roman"/>
          <w:color w:val="000000"/>
          <w:sz w:val="24"/>
        </w:rPr>
        <w: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definitions</w:t>
      </w:r>
      <w:r>
        <w:rPr>
          <w:color w:val="000000"/>
        </w:rPr>
        <w:t xml:space="preserve"> </w:t>
      </w:r>
      <w:r>
        <w:rPr>
          <w:rFonts w:ascii="Times New Roman" w:hAnsi="Times New Roman"/>
          <w:color w:val="000000"/>
          <w:sz w:val="24"/>
        </w:rPr>
        <w:t>apply:</w:t>
      </w:r>
    </w:p>
    <w:p>
      <w:pPr>
        <w:pStyle w:val="TextBody"/>
        <w:bidi w:val="0"/>
        <w:spacing w:before="240" w:after="283"/>
        <w:jc w:val="both"/>
        <w:rPr/>
      </w:pPr>
      <w:r>
        <w:rPr>
          <w:color w:val="000000"/>
        </w:rPr>
        <w:t>“</w:t>
      </w:r>
      <w:r>
        <w:rPr>
          <w:rFonts w:ascii="Times New Roman" w:hAnsi="Times New Roman"/>
          <w:color w:val="000000"/>
          <w:sz w:val="24"/>
          <w:u w:val="single"/>
        </w:rPr>
        <w:t>Affiliates</w:t>
      </w:r>
      <w:r>
        <w:rPr>
          <w:rFonts w:ascii="Times New Roman" w:hAnsi="Times New Roman"/>
          <w:color w:val="000000"/>
          <w:sz w:val="20"/>
        </w:rPr>
        <w:t xml:space="preserve">” </w:t>
      </w:r>
      <w:r>
        <w:rPr>
          <w:rFonts w:ascii="Times New Roman" w:hAnsi="Times New Roman"/>
          <w:color w:val="000000"/>
          <w:sz w:val="24"/>
        </w:rPr>
        <w:t>means all Persons directly or indirectly controlling, controlled by or under</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management</w:t>
      </w:r>
      <w:r>
        <w:rPr>
          <w:rFonts w:ascii="Times New Roman" w:hAnsi="Times New Roman"/>
          <w:color w:val="000000"/>
          <w:sz w:val="20"/>
        </w:rPr>
        <w:t xml:space="preserve"> </w:t>
      </w:r>
      <w:r>
        <w:rPr>
          <w:rFonts w:ascii="Times New Roman" w:hAnsi="Times New Roman"/>
          <w:color w:val="000000"/>
          <w:sz w:val="24"/>
        </w:rPr>
        <w:t>authority, equity interest or otherwise.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has the meaning set forth in the Company’s 2026 Incentive Award Plan, as in effect on the Effective Date; provided that, if a Change in Control constitutes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 409A, to the extent required to avoid the imposition of additional taxes under Section 409A, the transaction or event described in the Change in Control definition shall only constitute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timing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 benefit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also</w:t>
      </w:r>
      <w:r>
        <w:rPr>
          <w:rFonts w:ascii="Times New Roman" w:hAnsi="Times New Roman"/>
          <w:color w:val="000000"/>
          <w:sz w:val="20"/>
        </w:rPr>
        <w:t xml:space="preserve"> </w:t>
      </w:r>
      <w:r>
        <w:rPr>
          <w:rFonts w:ascii="Times New Roman" w:hAnsi="Times New Roman"/>
          <w:color w:val="000000"/>
          <w:sz w:val="24"/>
        </w:rPr>
        <w:t>constitutes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 Treasury</w:t>
      </w:r>
      <w:r>
        <w:rPr>
          <w:rFonts w:ascii="Times New Roman" w:hAnsi="Times New Roman"/>
          <w:color w:val="000000"/>
          <w:sz w:val="20"/>
        </w:rPr>
        <w:t xml:space="preserve"> </w:t>
      </w:r>
      <w:r>
        <w:rPr>
          <w:rFonts w:ascii="Times New Roman" w:hAnsi="Times New Roman"/>
          <w:color w:val="000000"/>
          <w:sz w:val="24"/>
        </w:rPr>
        <w:t>Regulation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1.409A-3(i)(5).</w:t>
      </w:r>
    </w:p>
    <w:p>
      <w:pPr>
        <w:pStyle w:val="TextBody"/>
        <w:bidi w:val="0"/>
        <w:spacing w:before="240" w:after="283"/>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individual,</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an association, a partnership, an estate, a trust or any other entity or organization.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pPr>
      <w:r>
        <w:rPr>
          <w:rFonts w:ascii="Times New Roman" w:hAnsi="Times New Roman"/>
          <w:b/>
          <w:color w:val="000000"/>
          <w:sz w:val="24"/>
        </w:rPr>
        <w:t>Conflicting Agreements</w:t>
      </w:r>
      <w:r>
        <w:rPr>
          <w:rFonts w:ascii="Times New Roman" w:hAnsi="Times New Roman"/>
          <w:color w:val="000000"/>
          <w:sz w:val="24"/>
        </w:rPr>
        <w:t>. The Executive hereby represents and warrants that the Executive’s</w:t>
      </w:r>
      <w:r>
        <w:rPr>
          <w:color w:val="000000"/>
        </w:rPr>
        <w:t xml:space="preserve"> </w:t>
      </w:r>
      <w:r>
        <w:rPr>
          <w:rFonts w:ascii="Times New Roman" w:hAnsi="Times New Roman"/>
          <w:color w:val="000000"/>
          <w:sz w:val="24"/>
        </w:rPr>
        <w:t>signing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obligations under</w:t>
      </w:r>
      <w:r>
        <w:rPr>
          <w:color w:val="000000"/>
        </w:rPr>
        <w:t xml:space="preserve"> </w:t>
      </w:r>
      <w:r>
        <w:rPr>
          <w:rFonts w:ascii="Times New Roman" w:hAnsi="Times New Roman"/>
          <w:color w:val="000000"/>
          <w:sz w:val="24"/>
        </w:rPr>
        <w:t>this Agreement will not breach or be in conflict with any other</w:t>
      </w:r>
      <w:r>
        <w:rPr>
          <w:color w:val="000000"/>
        </w:rPr>
        <w:t xml:space="preserve"> </w:t>
      </w:r>
      <w:r>
        <w:rPr>
          <w:rFonts w:ascii="Times New Roman" w:hAnsi="Times New Roman"/>
          <w:color w:val="000000"/>
          <w:sz w:val="24"/>
        </w:rPr>
        <w:t>lawful</w:t>
      </w:r>
      <w:r>
        <w:rPr>
          <w:color w:val="000000"/>
        </w:rPr>
        <w:t xml:space="preserve"> </w:t>
      </w:r>
      <w:r>
        <w:rPr>
          <w:rFonts w:ascii="Times New Roman" w:hAnsi="Times New Roman"/>
          <w:color w:val="000000"/>
          <w:sz w:val="24"/>
        </w:rPr>
        <w:t>agreement to 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now</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lawful</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against</w:t>
      </w:r>
      <w:r>
        <w:rPr>
          <w:color w:val="000000"/>
        </w:rPr>
        <w:t xml:space="preserve"> </w:t>
      </w:r>
      <w:r>
        <w:rPr>
          <w:rFonts w:ascii="Times New Roman" w:hAnsi="Times New Roman"/>
          <w:color w:val="000000"/>
          <w:sz w:val="24"/>
        </w:rPr>
        <w:t>competition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similar</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 court order that could affect the performance of the Executive’s obligations under this Agreement. The Executive agrees that the Executive will not disclose to or use on behalf of the Company any confidential or proprietary information of a third party without that party’s consent and will recuse Executive from any situation which may compromise Executive’s obligation to strictly safeguard confidential information of third parties and prevent</w:t>
      </w:r>
      <w:r>
        <w:rPr>
          <w:color w:val="000000"/>
        </w:rPr>
        <w:t xml:space="preserve"> </w:t>
      </w:r>
      <w:r>
        <w:rPr>
          <w:rFonts w:ascii="Times New Roman" w:hAnsi="Times New Roman"/>
          <w:color w:val="000000"/>
          <w:sz w:val="24"/>
        </w:rPr>
        <w:t>unauthorized</w:t>
      </w:r>
      <w:r>
        <w:rPr>
          <w:color w:val="000000"/>
        </w:rPr>
        <w:t xml:space="preserve"> </w:t>
      </w:r>
      <w:r>
        <w:rPr>
          <w:rFonts w:ascii="Times New Roman" w:hAnsi="Times New Roman"/>
          <w:color w:val="000000"/>
          <w:sz w:val="24"/>
        </w:rPr>
        <w:t>disclosure.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 Executive will use in the performance of the Executive’s duties, in addition to the Company’s confidential information, proprietary information and trade secrets, only information which is generally known and used by persons with training and experience comparable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own,</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knowledge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industry,</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legally in the</w:t>
      </w:r>
      <w:r>
        <w:rPr>
          <w:color w:val="000000"/>
        </w:rPr>
        <w:t xml:space="preserve"> </w:t>
      </w:r>
      <w:r>
        <w:rPr>
          <w:rFonts w:ascii="Times New Roman" w:hAnsi="Times New Roman"/>
          <w:color w:val="000000"/>
          <w:sz w:val="24"/>
        </w:rPr>
        <w:t>public</w:t>
      </w:r>
      <w:r>
        <w:rPr>
          <w:color w:val="000000"/>
        </w:rPr>
        <w:t xml:space="preserve"> </w:t>
      </w:r>
      <w:r>
        <w:rPr>
          <w:rFonts w:ascii="Times New Roman" w:hAnsi="Times New Roman"/>
          <w:color w:val="000000"/>
          <w:sz w:val="24"/>
        </w:rPr>
        <w:t>domain or</w:t>
      </w:r>
      <w:r>
        <w:rPr>
          <w:color w:val="000000"/>
        </w:rPr>
        <w:t xml:space="preserve"> </w:t>
      </w:r>
      <w:r>
        <w:rPr>
          <w:rFonts w:ascii="Times New Roman" w:hAnsi="Times New Roman"/>
          <w:color w:val="000000"/>
          <w:sz w:val="24"/>
        </w:rPr>
        <w:t>obtained or</w:t>
      </w:r>
      <w:r>
        <w:rPr>
          <w:color w:val="000000"/>
        </w:rPr>
        <w:t xml:space="preserve"> </w:t>
      </w:r>
      <w:r>
        <w:rPr>
          <w:rFonts w:ascii="Times New Roman" w:hAnsi="Times New Roman"/>
          <w:color w:val="000000"/>
          <w:sz w:val="24"/>
        </w:rPr>
        <w:t>developed</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in the course of the Executive’s work for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pPr>
      <w:r>
        <w:rPr>
          <w:rFonts w:ascii="Times New Roman" w:hAnsi="Times New Roman"/>
          <w:b/>
          <w:color w:val="000000"/>
          <w:sz w:val="24"/>
        </w:rPr>
        <w:t>Withholding</w:t>
      </w:r>
      <w:r>
        <w:rPr>
          <w:rFonts w:ascii="Times New Roman" w:hAnsi="Times New Roman"/>
          <w:color w:val="000000"/>
          <w:sz w:val="24"/>
        </w:rPr>
        <w:t>. All payments made by the Company or any Affiliate under this Agreement or otherwise shall be reduced by any tax or other amounts required to be withheld by the Company or any Affiliate to the extent required by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pPr>
      <w:r>
        <w:rPr>
          <w:rFonts w:ascii="Times New Roman" w:hAnsi="Times New Roman"/>
          <w:b/>
          <w:color w:val="000000"/>
          <w:sz w:val="24"/>
        </w:rPr>
        <w:t>Assignment; Successors and Assigns</w:t>
      </w:r>
      <w:r>
        <w:rPr>
          <w:rFonts w:ascii="Times New Roman" w:hAnsi="Times New Roman"/>
          <w:color w:val="000000"/>
          <w:sz w:val="24"/>
        </w:rPr>
        <w:t>. Neither the Executive nor the Company may make any assignment of this Agreement or any interest in it, by operation of law or otherwise,</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may assign its rights and obligations under this Agreement and any Restrictive Covenant Agreement without the Executive’s consent to one of its Affiliates or to any Person with which the Company shall hereafter effect a reorganization, consolidate or merge, or to 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hereafter</w:t>
      </w:r>
      <w:r>
        <w:rPr>
          <w:color w:val="000000"/>
        </w:rPr>
        <w:t xml:space="preserve"> </w:t>
      </w:r>
      <w:r>
        <w:rPr>
          <w:rFonts w:ascii="Times New Roman" w:hAnsi="Times New Roman"/>
          <w:color w:val="000000"/>
          <w:sz w:val="24"/>
        </w:rPr>
        <w:t>transfer</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properties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assets. This Agreement shall inure to the benefit of and be binding upon the Executive and the Company, and each of their respective successors, executors, administrators, heirs and permitted</w:t>
      </w:r>
      <w:r>
        <w:rPr>
          <w:color w:val="000000"/>
        </w:rPr>
        <w:t xml:space="preserve"> </w:t>
      </w:r>
      <w:r>
        <w:rPr>
          <w:rFonts w:ascii="Times New Roman" w:hAnsi="Times New Roman"/>
          <w:color w:val="000000"/>
          <w:sz w:val="24"/>
        </w:rPr>
        <w:t>assigns,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dies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before all</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have 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remaining</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beneficiary designated by the Executive or, if no such beneficiary has been designated, to the Executive’s estate.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pPr>
      <w:r>
        <w:rPr>
          <w:rFonts w:ascii="Times New Roman" w:hAnsi="Times New Roman"/>
          <w:b/>
          <w:color w:val="000000"/>
          <w:sz w:val="24"/>
        </w:rPr>
        <w:t>Severability</w:t>
      </w:r>
      <w:r>
        <w:rPr>
          <w:rFonts w:ascii="Times New Roman" w:hAnsi="Times New Roman"/>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w:t>
      </w:r>
      <w:r>
        <w:rPr>
          <w:color w:val="000000"/>
        </w:rPr>
        <w:t xml:space="preserve"> </w:t>
      </w:r>
      <w:r>
        <w:rPr>
          <w:rFonts w:ascii="Times New Roman" w:hAnsi="Times New Roman"/>
          <w:color w:val="000000"/>
          <w:sz w:val="24"/>
        </w:rPr>
        <w:t>those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so</w:t>
      </w:r>
      <w:r>
        <w:rPr>
          <w:color w:val="000000"/>
        </w:rPr>
        <w:t xml:space="preserve"> </w:t>
      </w:r>
      <w:r>
        <w:rPr>
          <w:rFonts w:ascii="Times New Roman" w:hAnsi="Times New Roman"/>
          <w:color w:val="000000"/>
          <w:sz w:val="24"/>
        </w:rPr>
        <w:t>declared</w:t>
      </w:r>
      <w:r>
        <w:rPr>
          <w:color w:val="000000"/>
        </w:rPr>
        <w:t xml:space="preserve"> </w:t>
      </w:r>
      <w:r>
        <w:rPr>
          <w:rFonts w:ascii="Times New Roman" w:hAnsi="Times New Roman"/>
          <w:color w:val="000000"/>
          <w:sz w:val="24"/>
        </w:rPr>
        <w:t>illegal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unenforceable,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affected thereby, and each portion and provision of this Agreement shall be valid and enforceable to the fullest extent permitted by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pPr>
      <w:r>
        <w:rPr>
          <w:rFonts w:ascii="Times New Roman" w:hAnsi="Times New Roman"/>
          <w:b/>
          <w:color w:val="000000"/>
          <w:sz w:val="24"/>
        </w:rPr>
        <w:t>Miscellaneous</w:t>
      </w:r>
      <w:r>
        <w:rPr>
          <w:rFonts w:ascii="Times New Roman" w:hAnsi="Times New Roman"/>
          <w:color w:val="000000"/>
          <w:sz w:val="24"/>
        </w:rPr>
        <w:t>. This Agreement, together with the any Restrictive Covenant Agreement and the Equity Documents, sets forth the entire agreement between the Executive and the Company, and replaces all prior communications, agreements and understandings,</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oral,</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conditions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employment, including the Prior Agreement. For the avoidance of doubt, the Restrictive Covenant Agreement is incorporated by reference into this Agreement as set forth above and nothing herein supersedes or replaces such Restrictive Covenant Agreement. This Agreement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modified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amended,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waived, unless</w:t>
      </w:r>
      <w:r>
        <w:rPr>
          <w:color w:val="000000"/>
        </w:rPr>
        <w:t xml:space="preserve"> </w:t>
      </w:r>
      <w:r>
        <w:rPr>
          <w:rFonts w:ascii="Times New Roman" w:hAnsi="Times New Roman"/>
          <w:color w:val="000000"/>
          <w:sz w:val="24"/>
        </w:rPr>
        <w:t>agreed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writing</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and an</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authorized</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of the Board. The headings and captions in this Agreement are for convenience only and in no way define or describe the scope or content of any provision of this Agreement. This Agreement may be executed in two (2) or more counterparts, each of which shall be an original,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together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constitute</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instrument.</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is a</w:t>
      </w:r>
      <w:r>
        <w:rPr>
          <w:color w:val="000000"/>
        </w:rPr>
        <w:t xml:space="preserve"> </w:t>
      </w:r>
      <w:r>
        <w:rPr>
          <w:rFonts w:ascii="Times New Roman" w:hAnsi="Times New Roman"/>
          <w:color w:val="000000"/>
          <w:sz w:val="24"/>
        </w:rPr>
        <w:t>Massachusetts</w:t>
      </w:r>
      <w:r>
        <w:rPr>
          <w:color w:val="000000"/>
        </w:rPr>
        <w:t xml:space="preserve"> </w:t>
      </w:r>
      <w:r>
        <w:rPr>
          <w:rFonts w:ascii="Times New Roman" w:hAnsi="Times New Roman"/>
          <w:color w:val="000000"/>
          <w:sz w:val="24"/>
        </w:rPr>
        <w:t>contract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governed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construed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laws of the Commonwealth of Massachusetts, without regard to any conflict of laws principles that would result in the application of the laws of any other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pPr>
      <w:r>
        <w:rPr>
          <w:rFonts w:ascii="Times New Roman" w:hAnsi="Times New Roman"/>
          <w:b/>
          <w:color w:val="000000"/>
          <w:sz w:val="24"/>
        </w:rPr>
        <w:t>Notices</w:t>
      </w:r>
      <w:r>
        <w:rPr>
          <w:rFonts w:ascii="Times New Roman" w:hAnsi="Times New Roman"/>
          <w:color w:val="000000"/>
          <w:sz w:val="24"/>
        </w:rPr>
        <w:t>. Any notices provided for in this Agreement shall be in writing and shall be effective when delivered in person or deposited in the United States mail, postage prepaid,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addressed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last</w:t>
      </w:r>
      <w:r>
        <w:rPr>
          <w:color w:val="000000"/>
        </w:rPr>
        <w:t xml:space="preserve"> </w:t>
      </w:r>
      <w:r>
        <w:rPr>
          <w:rFonts w:ascii="Times New Roman" w:hAnsi="Times New Roman"/>
          <w:color w:val="000000"/>
          <w:sz w:val="24"/>
        </w:rPr>
        <w:t>known</w:t>
      </w:r>
      <w:r>
        <w:rPr>
          <w:color w:val="000000"/>
        </w:rPr>
        <w:t xml:space="preserve"> </w:t>
      </w:r>
      <w:r>
        <w:rPr>
          <w:rFonts w:ascii="Times New Roman" w:hAnsi="Times New Roman"/>
          <w:color w:val="000000"/>
          <w:sz w:val="24"/>
        </w:rPr>
        <w:t>address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books of the Company or, in the case of the Company, to it at its principal place of business, attention of the Chairperson of the Board, or to such other address as either party may specify by notice to the other actually received.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pPr>
      <w:r>
        <w:rPr>
          <w:rFonts w:ascii="Times New Roman" w:hAnsi="Times New Roman"/>
          <w:b/>
          <w:color w:val="000000"/>
          <w:sz w:val="24"/>
        </w:rPr>
        <w:t>Section</w:t>
      </w:r>
      <w:r>
        <w:rPr>
          <w:color w:val="000000"/>
        </w:rPr>
        <w:t xml:space="preserve"> </w:t>
      </w:r>
      <w:r>
        <w:rPr>
          <w:rFonts w:ascii="Times New Roman" w:hAnsi="Times New Roman"/>
          <w:b/>
          <w:color w:val="000000"/>
          <w:sz w:val="24"/>
        </w:rPr>
        <w:t>280G</w:t>
      </w:r>
      <w:r>
        <w:rPr>
          <w:rFonts w:ascii="Times New Roman" w:hAnsi="Times New Roman"/>
          <w:color w:val="000000"/>
          <w:sz w:val="24"/>
        </w:rPr>
        <w:t>.</w:t>
      </w:r>
      <w:r>
        <w:rPr>
          <w:color w:val="000000"/>
        </w:rPr>
        <w:t xml:space="preserve"> </w:t>
      </w:r>
      <w:r>
        <w:rPr>
          <w:rFonts w:ascii="Times New Roman" w:hAnsi="Times New Roman"/>
          <w:color w:val="000000"/>
          <w:sz w:val="24"/>
        </w:rPr>
        <w:t>Anything 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contrary notwithstanding,</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 event that the amount of any compensation, payment or distribution provided to the Executive, whether paid or</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or distributed or</w:t>
      </w:r>
      <w:r>
        <w:rPr>
          <w:color w:val="000000"/>
        </w:rPr>
        <w:t xml:space="preserve"> </w:t>
      </w:r>
      <w:r>
        <w:rPr>
          <w:rFonts w:ascii="Times New Roman" w:hAnsi="Times New Roman"/>
          <w:color w:val="000000"/>
          <w:sz w:val="24"/>
        </w:rPr>
        <w:t>distributable</w:t>
      </w:r>
      <w:r>
        <w:rPr>
          <w:color w:val="000000"/>
        </w:rPr>
        <w:t xml:space="preserve"> </w:t>
      </w:r>
      <w:r>
        <w:rPr>
          <w:rFonts w:ascii="Times New Roman" w:hAnsi="Times New Roman"/>
          <w:color w:val="000000"/>
          <w:sz w:val="24"/>
        </w:rPr>
        <w:t>pursuant to the</w:t>
      </w:r>
      <w:r>
        <w:rPr>
          <w:color w:val="000000"/>
        </w:rPr>
        <w:t xml:space="preserve"> </w:t>
      </w:r>
      <w:r>
        <w:rPr>
          <w:rFonts w:ascii="Times New Roman" w:hAnsi="Times New Roman"/>
          <w:color w:val="000000"/>
          <w:sz w:val="24"/>
        </w:rPr>
        <w:t>terms of this Agreement or otherwise, calculated in a manner consistent with Section 280G of the Code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regulations thereunder</w:t>
      </w:r>
      <w:r>
        <w:rPr>
          <w:color w:val="000000"/>
        </w:rPr>
        <w:t xml:space="preserve"> </w:t>
      </w:r>
      <w:r>
        <w:rPr>
          <w:rFonts w:ascii="Times New Roman" w:hAnsi="Times New Roman"/>
          <w:color w:val="000000"/>
          <w:sz w:val="24"/>
        </w:rPr>
        <w:t>(collectively, the “</w:t>
      </w:r>
      <w:r>
        <w:rPr>
          <w:rFonts w:ascii="Times New Roman" w:hAnsi="Times New Roman"/>
          <w:color w:val="000000"/>
          <w:sz w:val="24"/>
          <w:u w:val="single"/>
        </w:rPr>
        <w:t>Aggregate</w:t>
      </w:r>
      <w:r>
        <w:rPr>
          <w:color w:val="000000"/>
          <w:u w:val="single"/>
        </w:rPr>
        <w:t xml:space="preserve"> </w:t>
      </w:r>
      <w:r>
        <w:rPr>
          <w:rFonts w:ascii="Times New Roman" w:hAnsi="Times New Roman"/>
          <w:color w:val="000000"/>
          <w:sz w:val="24"/>
          <w:u w:val="single"/>
        </w:rPr>
        <w:t>Payments</w:t>
      </w:r>
      <w:r>
        <w:rPr>
          <w:color w:val="000000"/>
        </w:rPr>
        <w:t>”</w:t>
      </w:r>
      <w:r>
        <w:rPr>
          <w:rFonts w:ascii="Times New Roman" w:hAnsi="Times New Roman"/>
          <w:color w:val="000000"/>
          <w:sz w:val="24"/>
        </w:rPr>
        <w:t>), would be</w:t>
      </w:r>
      <w:r>
        <w:rPr>
          <w:color w:val="000000"/>
        </w:rPr>
        <w:t xml:space="preserve"> </w:t>
      </w:r>
      <w:r>
        <w:rPr>
          <w:rFonts w:ascii="Times New Roman" w:hAnsi="Times New Roman"/>
          <w:color w:val="000000"/>
          <w:sz w:val="24"/>
        </w:rPr>
        <w:t>subject to the excise</w:t>
      </w:r>
      <w:r>
        <w:rPr>
          <w:color w:val="000000"/>
        </w:rPr>
        <w:t xml:space="preserve"> </w:t>
      </w:r>
      <w:r>
        <w:rPr>
          <w:rFonts w:ascii="Times New Roman" w:hAnsi="Times New Roman"/>
          <w:color w:val="000000"/>
          <w:sz w:val="24"/>
        </w:rPr>
        <w:t>tax imposed by Section 4999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or nondeductible by the payor due to Section 280G of the Code (as applicable, the “</w:t>
      </w:r>
      <w:r>
        <w:rPr>
          <w:rFonts w:ascii="Times New Roman" w:hAnsi="Times New Roman"/>
          <w:color w:val="000000"/>
          <w:sz w:val="24"/>
          <w:u w:val="single"/>
        </w:rPr>
        <w:t>Adverse 280G</w:t>
      </w:r>
      <w:r>
        <w:rPr>
          <w:color w:val="000000"/>
        </w:rPr>
        <w:t xml:space="preserve"> </w:t>
      </w:r>
      <w:r>
        <w:rPr>
          <w:rFonts w:ascii="Times New Roman" w:hAnsi="Times New Roman"/>
          <w:color w:val="000000"/>
          <w:sz w:val="24"/>
          <w:u w:val="single"/>
        </w:rPr>
        <w:t>Consequences</w:t>
      </w:r>
      <w:r>
        <w:rPr>
          <w:color w:val="000000"/>
        </w:rPr>
        <w:t>”</w:t>
      </w:r>
      <w:r>
        <w:rPr>
          <w:rFonts w:ascii="Times New Roman" w:hAnsi="Times New Roman"/>
          <w:color w:val="000000"/>
          <w:sz w:val="24"/>
        </w:rPr>
        <w:t>), then the Aggregate Payments shall be reduced (but not below zero ($0)) to</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$1.00</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Adverse</w:t>
      </w:r>
      <w:r>
        <w:rPr>
          <w:color w:val="000000"/>
        </w:rPr>
        <w:t xml:space="preserve"> </w:t>
      </w:r>
      <w:r>
        <w:rPr>
          <w:rFonts w:ascii="Times New Roman" w:hAnsi="Times New Roman"/>
          <w:color w:val="000000"/>
          <w:sz w:val="24"/>
        </w:rPr>
        <w:t>280G</w:t>
      </w:r>
      <w:r>
        <w:rPr>
          <w:color w:val="000000"/>
        </w:rPr>
        <w:t xml:space="preserve"> </w:t>
      </w:r>
      <w:r>
        <w:rPr>
          <w:rFonts w:ascii="Times New Roman" w:hAnsi="Times New Roman"/>
          <w:color w:val="000000"/>
          <w:sz w:val="24"/>
        </w:rPr>
        <w:t>Consequences apply; provided that such reduction shall only occur if it would result in the Executive receiving</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higher</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receive if the Aggregate Payments were not subject to such reduction. In the event a reduction is warranted, the Aggregate Payments shall be reduced in the following order, in each case, in reverse chronological order beginning with the Aggregate Payments that are</w:t>
      </w:r>
      <w:r>
        <w:rPr>
          <w:color w:val="000000"/>
        </w:rPr>
        <w:t xml:space="preserve"> </w:t>
      </w:r>
      <w:r>
        <w:rPr>
          <w:rFonts w:ascii="Times New Roman" w:hAnsi="Times New Roman"/>
          <w:color w:val="000000"/>
          <w:sz w:val="24"/>
        </w:rPr>
        <w:t>to be paid the furthest in time from consummation of the transaction that is subject to Section</w:t>
      </w:r>
      <w:r>
        <w:rPr>
          <w:color w:val="000000"/>
        </w:rPr>
        <w:t xml:space="preserve"> </w:t>
      </w:r>
      <w:r>
        <w:rPr>
          <w:rFonts w:ascii="Times New Roman" w:hAnsi="Times New Roman"/>
          <w:color w:val="000000"/>
          <w:sz w:val="24"/>
        </w:rPr>
        <w:t>280G of the Code: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cash payments not subject to Section 409A; (b)</w:t>
      </w:r>
      <w:r>
        <w:rPr>
          <w:color w:val="000000"/>
        </w:rPr>
        <w:t xml:space="preserve"> </w:t>
      </w:r>
      <w:r>
        <w:rPr>
          <w:rFonts w:ascii="Times New Roman" w:hAnsi="Times New Roman"/>
          <w:color w:val="000000"/>
          <w:sz w:val="24"/>
        </w:rPr>
        <w:t xml:space="preserve">cash payments subject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Section</w:t>
      </w:r>
      <w:r>
        <w:rPr>
          <w:color w:val="000000"/>
        </w:rPr>
        <w:t xml:space="preserve"> </w:t>
      </w:r>
      <w:r>
        <w:rPr>
          <w:rFonts w:ascii="Times New Roman" w:hAnsi="Times New Roman"/>
          <w:color w:val="000000"/>
          <w:sz w:val="24"/>
        </w:rPr>
        <w:t>409A; (c) equity-based payments and</w:t>
      </w:r>
      <w:r>
        <w:rPr>
          <w:color w:val="000000"/>
        </w:rPr>
        <w:t xml:space="preserve"> </w:t>
      </w:r>
      <w:r>
        <w:rPr>
          <w:rFonts w:ascii="Times New Roman" w:hAnsi="Times New Roman"/>
          <w:color w:val="000000"/>
          <w:sz w:val="24"/>
        </w:rPr>
        <w:t>acceleration; and (d)</w:t>
      </w:r>
      <w:r>
        <w:rPr>
          <w:color w:val="000000"/>
        </w:rPr>
        <w:t xml:space="preserve"> </w:t>
      </w:r>
      <w:r>
        <w:rPr>
          <w:rFonts w:ascii="Times New Roman" w:hAnsi="Times New Roman"/>
          <w:color w:val="000000"/>
          <w:sz w:val="24"/>
        </w:rPr>
        <w:t>non-cash</w:t>
      </w:r>
      <w:r>
        <w:rPr>
          <w:color w:val="000000"/>
        </w:rPr>
        <w:t xml:space="preserve"> </w:t>
      </w:r>
      <w:r>
        <w:rPr>
          <w:rFonts w:ascii="Times New Roman" w:hAnsi="Times New Roman"/>
          <w:color w:val="000000"/>
          <w:sz w:val="24"/>
        </w:rPr>
        <w:t>forms of benefits; provided, that, in the case of all the foregoing Aggregate Payments, all amounts or</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Treasury Regulation</w:t>
      </w:r>
      <w:r>
        <w:rPr>
          <w:color w:val="000000"/>
        </w:rPr>
        <w:t xml:space="preserve"> </w:t>
      </w:r>
      <w:r>
        <w:rPr>
          <w:rFonts w:ascii="Times New Roman" w:hAnsi="Times New Roman"/>
          <w:color w:val="000000"/>
          <w:sz w:val="24"/>
        </w:rPr>
        <w:t>Section 1.280G-1,</w:t>
      </w:r>
      <w:r>
        <w:rPr>
          <w:color w:val="000000"/>
        </w:rPr>
        <w:t xml:space="preserve"> </w:t>
      </w:r>
      <w:r>
        <w:rPr>
          <w:rFonts w:ascii="Times New Roman" w:hAnsi="Times New Roman"/>
          <w:color w:val="000000"/>
          <w:sz w:val="24"/>
        </w:rPr>
        <w:t>Q&amp;A-24(b)</w:t>
      </w:r>
      <w:r>
        <w:rPr>
          <w:color w:val="000000"/>
        </w:rPr>
        <w:t xml:space="preserve"> </w:t>
      </w:r>
      <w:r>
        <w:rPr>
          <w:rFonts w:ascii="Times New Roman" w:hAnsi="Times New Roman"/>
          <w:color w:val="000000"/>
          <w:sz w:val="24"/>
        </w:rPr>
        <w:t>or (c)</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reduced</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that are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1.280G-1,</w:t>
      </w:r>
      <w:r>
        <w:rPr>
          <w:color w:val="000000"/>
        </w:rPr>
        <w:t xml:space="preserve"> </w:t>
      </w:r>
      <w:r>
        <w:rPr>
          <w:rFonts w:ascii="Times New Roman" w:hAnsi="Times New Roman"/>
          <w:color w:val="000000"/>
          <w:sz w:val="24"/>
        </w:rPr>
        <w:t>Q&amp;A-24(b)</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 For purposes of this Agreement, the “</w:t>
      </w:r>
      <w:r>
        <w:rPr>
          <w:rFonts w:ascii="Times New Roman" w:hAnsi="Times New Roman"/>
          <w:color w:val="000000"/>
          <w:sz w:val="24"/>
          <w:u w:val="single"/>
        </w:rPr>
        <w:t>After Tax Amount</w:t>
      </w:r>
      <w:r>
        <w:rPr>
          <w:color w:val="000000"/>
        </w:rPr>
        <w:t xml:space="preserve">” </w:t>
      </w:r>
      <w:r>
        <w:rPr>
          <w:rFonts w:ascii="Times New Roman" w:hAnsi="Times New Roman"/>
          <w:color w:val="000000"/>
          <w:sz w:val="24"/>
        </w:rPr>
        <w:t>means the amount of the Aggregate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excise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taxes imposed on the Executive as a result of the Executive’s receipt of the Aggregate Payments.</w:t>
      </w:r>
      <w:r>
        <w:rPr>
          <w:color w:val="000000"/>
        </w:rPr>
        <w:t xml:space="preserve"> </w:t>
      </w:r>
      <w:r>
        <w:rPr>
          <w:rFonts w:ascii="Times New Roman" w:hAnsi="Times New Roman"/>
          <w:color w:val="000000"/>
          <w:sz w:val="24"/>
        </w:rPr>
        <w:t>For purposes of determining the After Tax Amount, the Executive shall be 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taxation applicable to individuals for the calendar year in which the determination is to be made, and</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individual</w:t>
      </w:r>
      <w:r>
        <w:rPr>
          <w:color w:val="000000"/>
        </w:rPr>
        <w:t xml:space="preserve"> </w:t>
      </w:r>
      <w:r>
        <w:rPr>
          <w:rFonts w:ascii="Times New Roman" w:hAnsi="Times New Roman"/>
          <w:color w:val="000000"/>
          <w:sz w:val="24"/>
        </w:rPr>
        <w:t>taxation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 applicable</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locality,</w:t>
      </w:r>
      <w:r>
        <w:rPr>
          <w:color w:val="000000"/>
        </w:rPr>
        <w:t xml:space="preserve"> </w:t>
      </w:r>
      <w:r>
        <w:rPr>
          <w:rFonts w:ascii="Times New Roman" w:hAnsi="Times New Roman"/>
          <w:color w:val="000000"/>
          <w:sz w:val="24"/>
        </w:rPr>
        <w:t>net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maximum</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which could be obtained from deduction of such state and local taxes. The determination as to whether a reduction in the Aggregate Payments shall be made pursuant to the Agreement shall be made by a nationally recognized accounting firm selected by the Company (the “</w:t>
      </w:r>
      <w:r>
        <w:rPr>
          <w:rFonts w:ascii="Times New Roman" w:hAnsi="Times New Roman"/>
          <w:color w:val="000000"/>
          <w:sz w:val="24"/>
          <w:u w:val="single"/>
        </w:rPr>
        <w:t>Accounting Firm</w:t>
      </w:r>
      <w:r>
        <w:rPr>
          <w:color w:val="000000"/>
        </w:rPr>
        <w:t>”</w:t>
      </w:r>
      <w:r>
        <w:rPr>
          <w:rFonts w:ascii="Times New Roman" w:hAnsi="Times New Roman"/>
          <w:color w:val="000000"/>
          <w:sz w:val="24"/>
        </w:rPr>
        <w:t>), which shall provide detailed supporting calculations both to the Company and the Executive within fifteen (15)</w:t>
      </w:r>
      <w:r>
        <w:rPr>
          <w:color w:val="000000"/>
        </w:rPr>
        <w:t xml:space="preserve"> </w:t>
      </w:r>
      <w:r>
        <w:rPr>
          <w:rFonts w:ascii="Times New Roman" w:hAnsi="Times New Roman"/>
          <w:color w:val="000000"/>
          <w:sz w:val="24"/>
        </w:rPr>
        <w:t>business days of the termination date, if applicable, or at such earlier time as is reasonably requested by the Company or the Executive.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Accounting</w:t>
      </w:r>
      <w:r>
        <w:rPr>
          <w:color w:val="000000"/>
        </w:rPr>
        <w:t xml:space="preserve"> </w:t>
      </w:r>
      <w:r>
        <w:rPr>
          <w:rFonts w:ascii="Times New Roman" w:hAnsi="Times New Roman"/>
          <w:color w:val="000000"/>
          <w:sz w:val="24"/>
        </w:rPr>
        <w:t>Firm</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binding</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and the Executive.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rFonts w:ascii="Times New Roman" w:hAnsi="Times New Roman"/>
          <w:b/>
          <w:color w:val="000000"/>
          <w:sz w:val="24"/>
        </w:rPr>
        <w:t>Effect</w:t>
      </w:r>
      <w:r>
        <w:rPr>
          <w:color w:val="000000"/>
        </w:rPr>
        <w:t xml:space="preserve"> </w:t>
      </w:r>
      <w:r>
        <w:rPr>
          <w:rFonts w:ascii="Times New Roman" w:hAnsi="Times New Roman"/>
          <w:b/>
          <w:color w:val="000000"/>
          <w:sz w:val="24"/>
        </w:rPr>
        <w:t>on</w:t>
      </w:r>
      <w:r>
        <w:rPr>
          <w:color w:val="000000"/>
        </w:rPr>
        <w:t xml:space="preserve"> </w:t>
      </w:r>
      <w:r>
        <w:rPr>
          <w:rFonts w:ascii="Times New Roman" w:hAnsi="Times New Roman"/>
          <w:b/>
          <w:color w:val="000000"/>
          <w:sz w:val="24"/>
        </w:rPr>
        <w:t>Other</w:t>
      </w:r>
      <w:r>
        <w:rPr>
          <w:color w:val="000000"/>
        </w:rPr>
        <w:t xml:space="preserve"> </w:t>
      </w:r>
      <w:r>
        <w:rPr>
          <w:rFonts w:ascii="Times New Roman" w:hAnsi="Times New Roman"/>
          <w:b/>
          <w:color w:val="000000"/>
          <w:sz w:val="24"/>
        </w:rPr>
        <w:t>Plans</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Agreements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 severance benefits under any Company severance pay plan, policy, offer letter or otherwise.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 limitation,</w:t>
      </w:r>
      <w:r>
        <w:rPr>
          <w:color w:val="000000"/>
        </w:rPr>
        <w:t xml:space="preserve"> </w:t>
      </w:r>
      <w:r>
        <w:rPr>
          <w:rFonts w:ascii="Times New Roman" w:hAnsi="Times New Roman"/>
          <w:color w:val="000000"/>
          <w:sz w:val="24"/>
        </w:rPr>
        <w:t>so-called</w:t>
      </w:r>
      <w:r>
        <w:rPr>
          <w:color w:val="000000"/>
        </w:rPr>
        <w:t xml:space="preserve"> “</w:t>
      </w:r>
      <w:r>
        <w:rPr>
          <w:rFonts w:ascii="Times New Roman" w:hAnsi="Times New Roman"/>
          <w:color w:val="000000"/>
          <w:sz w:val="24"/>
        </w:rPr>
        <w:t>plant</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requires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give</w:t>
      </w:r>
      <w:r>
        <w:rPr>
          <w:color w:val="000000"/>
        </w:rPr>
        <w:t xml:space="preserve"> </w:t>
      </w:r>
      <w:r>
        <w:rPr>
          <w:rFonts w:ascii="Times New Roman" w:hAnsi="Times New Roman"/>
          <w:color w:val="000000"/>
          <w:sz w:val="24"/>
        </w:rPr>
        <w:t>advance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or make a payment of any kind to the Executive because of the Executive’s involuntary termination</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 a</w:t>
      </w:r>
      <w:r>
        <w:rPr>
          <w:color w:val="000000"/>
        </w:rPr>
        <w:t xml:space="preserve"> </w:t>
      </w:r>
      <w:r>
        <w:rPr>
          <w:rFonts w:ascii="Times New Roman" w:hAnsi="Times New Roman"/>
          <w:color w:val="000000"/>
          <w:sz w:val="24"/>
        </w:rPr>
        <w:t>layoff,</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 force,</w:t>
      </w:r>
      <w:r>
        <w:rPr>
          <w:color w:val="000000"/>
        </w:rPr>
        <w:t xml:space="preserve"> </w:t>
      </w:r>
      <w:r>
        <w:rPr>
          <w:rFonts w:ascii="Times New Roman" w:hAnsi="Times New Roman"/>
          <w:color w:val="000000"/>
          <w:sz w:val="24"/>
        </w:rPr>
        <w:t>plant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facility</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sale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 or similar event, the Severance Benefits provided under this Agreement or the other arrangement shall either be reduced or eliminated to avoid any duplication of payment.</w:t>
      </w:r>
    </w:p>
    <w:p>
      <w:pPr>
        <w:pStyle w:val="TextBody"/>
        <w:bidi w:val="0"/>
        <w:spacing w:before="241"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Follows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duly authorized representative, and by the Executive, as of the date first above written.</w:t>
      </w:r>
    </w:p>
    <w:p>
      <w:pPr>
        <w:pStyle w:val="TextBody"/>
        <w:bidi w:val="0"/>
        <w:spacing w:before="240" w:after="283"/>
        <w:jc w:val="left"/>
        <w:rPr>
          <w:rFonts w:ascii="Times New Roman" w:hAnsi="Times New Roman"/>
          <w:sz w:val="20"/>
        </w:rPr>
      </w:pPr>
      <w:r>
        <w:rPr>
          <w:rFonts w:ascii="Times New Roman" w:hAnsi="Times New Roman"/>
          <w:color w:val="000000"/>
          <w:sz w:val="24"/>
        </w:rPr>
        <w:t>Kailera</w:t>
      </w:r>
      <w:r>
        <w:rPr>
          <w:rFonts w:ascii="Times New Roman" w:hAnsi="Times New Roman"/>
          <w:color w:val="000000"/>
          <w:sz w:val="20"/>
        </w:rPr>
        <w:t xml:space="preserve"> </w:t>
      </w:r>
      <w:r>
        <w:rPr>
          <w:rFonts w:ascii="Times New Roman" w:hAnsi="Times New Roman"/>
          <w:color w:val="000000"/>
          <w:sz w:val="24"/>
        </w:rPr>
        <w:t>Therapeutics, Inc.</w:t>
      </w:r>
    </w:p>
    <w:p>
      <w:pPr>
        <w:pStyle w:val="TextBody"/>
        <w:bidi w:val="0"/>
        <w:jc w:val="left"/>
        <w:rPr/>
      </w:pPr>
      <w:r>
        <w:rPr/>
        <w:t> </w:t>
      </w:r>
    </w:p>
    <w:tbl>
      <w:tblPr>
        <w:tblW w:w="4112" w:type="dxa"/>
        <w:jc w:val="left"/>
        <w:tblInd w:w="0" w:type="dxa"/>
        <w:tblLayout w:type="fixed"/>
        <w:tblCellMar>
          <w:top w:w="28" w:type="dxa"/>
          <w:left w:w="28" w:type="dxa"/>
          <w:bottom w:w="28" w:type="dxa"/>
          <w:right w:w="28" w:type="dxa"/>
        </w:tblCellMar>
      </w:tblPr>
      <w:tblGrid>
        <w:gridCol w:w="751"/>
        <w:gridCol w:w="3361"/>
      </w:tblGrid>
      <w:tr>
        <w:trPr/>
        <w:tc>
          <w:tcPr>
            <w:tcW w:w="75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3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Scott Akamine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Scott Akamine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Its:</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Legal Officer and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14" w:after="283"/>
              <w:jc w:val="left"/>
              <w:rPr>
                <w:rFonts w:ascii="Times New Roman" w:hAnsi="Times New Roman"/>
                <w:color w:val="000000"/>
                <w:sz w:val="24"/>
              </w:rPr>
            </w:pPr>
            <w:r>
              <w:rPr>
                <w:rFonts w:ascii="Times New Roman" w:hAnsi="Times New Roman"/>
                <w:color w:val="000000"/>
                <w:sz w:val="24"/>
              </w:rPr>
              <w:t>/s/ Ronald C. Renaud, Jr.</w:t>
            </w:r>
          </w:p>
        </w:tc>
      </w:tr>
      <w:tr>
        <w:trPr/>
        <w:tc>
          <w:tcPr>
            <w:tcW w:w="2551"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4"/>
              </w:rPr>
            </w:pPr>
            <w:r>
              <w:rPr>
                <w:rFonts w:ascii="Times New Roman" w:hAnsi="Times New Roman"/>
                <w:color w:val="000000"/>
                <w:sz w:val="24"/>
              </w:rPr>
              <w:t>Ronald C. Renaud, Jr.</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Second Amended and</w:t>
      </w:r>
      <w:r>
        <w:rPr>
          <w:rFonts w:ascii="Times New Roman" w:hAnsi="Times New Roman"/>
          <w:color w:val="000000"/>
          <w:sz w:val="20"/>
        </w:rPr>
        <w:t xml:space="preserve"> </w:t>
      </w:r>
      <w:r>
        <w:rPr>
          <w:rFonts w:ascii="Times New Roman" w:hAnsi="Times New Roman"/>
          <w:color w:val="000000"/>
          <w:sz w:val="24"/>
        </w:rPr>
        <w:t>Restated Employment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4" w:name="ck0002096997-ex10_5.htm"/>
      <w:bookmarkStart w:id="25" w:name="ksck0002096997ex10_5"/>
      <w:bookmarkEnd w:id="24"/>
      <w:bookmarkEnd w:id="25"/>
      <w:r>
        <w:rPr>
          <w:rFonts w:ascii="Times New Roman" w:hAnsi="Times New Roman"/>
          <w:b/>
          <w:color w:val="000000"/>
          <w:sz w:val="24"/>
        </w:rPr>
        <w:t>Exhibit 10.5</w:t>
      </w:r>
      <w:r>
        <w:br w:type="page"/>
      </w:r>
    </w:p>
    <w:p>
      <w:pPr>
        <w:pStyle w:val="Heading1"/>
        <w:bidi w:val="0"/>
        <w:spacing w:before="240" w:after="283"/>
        <w:jc w:val="left"/>
        <w:rPr>
          <w:rFonts w:ascii="Times New Roman" w:hAnsi="Times New Roman"/>
          <w:sz w:val="20"/>
        </w:rPr>
      </w:pPr>
      <w:r>
        <w:rPr>
          <w:rFonts w:ascii="Times New Roman" w:hAnsi="Times New Roman"/>
          <w:color w:val="000000"/>
          <w:sz w:val="24"/>
        </w:rPr>
        <w:t>AMENDED AND RESTATED EMPLOYMENT</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EMPLOYMENT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as of April 14, 2026, by and between Kailera Therapeutics, Inc., a Delaware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Paul</w:t>
      </w:r>
      <w:r>
        <w:rPr>
          <w:rFonts w:ascii="Times New Roman" w:hAnsi="Times New Roman"/>
          <w:color w:val="000000"/>
          <w:sz w:val="20"/>
        </w:rPr>
        <w:t xml:space="preserve"> </w:t>
      </w:r>
      <w:r>
        <w:rPr>
          <w:rFonts w:ascii="Times New Roman" w:hAnsi="Times New Roman"/>
          <w:color w:val="000000"/>
          <w:sz w:val="24"/>
        </w:rPr>
        <w:t>Burgess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effective as of the Effective Date (as defined below). Certain capitalized terms used, but not otherwise defined, in this Agreement are defined in Section 6 hereof.</w:t>
      </w:r>
    </w:p>
    <w:p>
      <w:pPr>
        <w:pStyle w:val="TextBody"/>
        <w:bidi w:val="0"/>
        <w:spacing w:before="240" w:after="283"/>
        <w:jc w:val="both"/>
        <w:rPr>
          <w:rFonts w:ascii="Times New Roman" w:hAnsi="Times New Roman"/>
          <w:sz w:val="20"/>
        </w:rPr>
      </w:pP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Executive</w:t>
      </w:r>
      <w:r>
        <w:rPr>
          <w:rFonts w:ascii="Times New Roman" w:hAnsi="Times New Roman"/>
          <w:color w:val="000000"/>
          <w:sz w:val="20"/>
        </w:rPr>
        <w:t xml:space="preserve"> </w:t>
      </w:r>
      <w:r>
        <w:rPr>
          <w:rFonts w:ascii="Times New Roman" w:hAnsi="Times New Roman"/>
          <w:color w:val="000000"/>
          <w:sz w:val="24"/>
        </w:rPr>
        <w:t>previously</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certain</w:t>
      </w:r>
      <w:r>
        <w:rPr>
          <w:rFonts w:ascii="Times New Roman" w:hAnsi="Times New Roman"/>
          <w:color w:val="000000"/>
          <w:sz w:val="20"/>
        </w:rPr>
        <w:t xml:space="preserve"> </w:t>
      </w:r>
      <w:r>
        <w:rPr>
          <w:rFonts w:ascii="Times New Roman" w:hAnsi="Times New Roman"/>
          <w:color w:val="000000"/>
          <w:sz w:val="24"/>
        </w:rPr>
        <w:t>Employment Agreement, dated as of September 14, 2024 (the “Prior Agreement”);</w:t>
      </w:r>
    </w:p>
    <w:p>
      <w:pPr>
        <w:pStyle w:val="TextBody"/>
        <w:bidi w:val="0"/>
        <w:spacing w:before="240" w:after="283"/>
        <w:jc w:val="both"/>
        <w:rPr>
          <w:rFonts w:ascii="Times New Roman" w:hAnsi="Times New Roman"/>
          <w:sz w:val="20"/>
        </w:rPr>
      </w:pP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Statement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S-1</w:t>
      </w:r>
      <w:r>
        <w:rPr>
          <w:rFonts w:ascii="Times New Roman" w:hAnsi="Times New Roman"/>
          <w:color w:val="000000"/>
          <w:sz w:val="20"/>
        </w:rPr>
        <w:t xml:space="preserve"> </w:t>
      </w:r>
      <w:r>
        <w:rPr>
          <w:rFonts w:ascii="Times New Roman" w:hAnsi="Times New Roman"/>
          <w:color w:val="000000"/>
          <w:sz w:val="24"/>
        </w:rPr>
        <w:t>filed with the Securities and Exchange Commission relating to the registered underwritten public offering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desires to continue to benefit from the services of the Executive, and the Executive desires to continue to render such services, on the terms and conditions set forth in this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effective as of the Effective Date, this Agreement will supersede the Prior Agreement in all respects.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covenants contained herein and intending to be legally bound hereby, the Company and the Executive agree as follows, effective on the Effective Date: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pPr>
      <w:r>
        <w:rPr>
          <w:rFonts w:ascii="Times New Roman" w:hAnsi="Times New Roman"/>
          <w:b/>
          <w:color w:val="000000"/>
          <w:sz w:val="24"/>
        </w:rPr>
        <w:t>Employment,</w:t>
      </w:r>
      <w:r>
        <w:rPr>
          <w:color w:val="000000"/>
        </w:rPr>
        <w:t xml:space="preserve"> </w:t>
      </w:r>
      <w:r>
        <w:rPr>
          <w:rFonts w:ascii="Times New Roman" w:hAnsi="Times New Roman"/>
          <w:b/>
          <w:color w:val="000000"/>
          <w:sz w:val="24"/>
        </w:rPr>
        <w:t>Position</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Duties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continue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full-time basis,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Chief</w:t>
      </w:r>
      <w:r>
        <w:rPr>
          <w:color w:val="000000"/>
        </w:rPr>
        <w:t xml:space="preserve"> </w:t>
      </w:r>
      <w:r>
        <w:rPr>
          <w:rFonts w:ascii="Times New Roman" w:hAnsi="Times New Roman"/>
          <w:color w:val="000000"/>
          <w:sz w:val="24"/>
        </w:rPr>
        <w:t>Operating</w:t>
      </w:r>
      <w:r>
        <w:rPr>
          <w:color w:val="000000"/>
        </w:rPr>
        <w:t xml:space="preserve"> </w:t>
      </w:r>
      <w:r>
        <w:rPr>
          <w:rFonts w:ascii="Times New Roman" w:hAnsi="Times New Roman"/>
          <w:color w:val="000000"/>
          <w:sz w:val="24"/>
        </w:rPr>
        <w:t>Officer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Chief</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Officer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reporting to the Company’s Chief Executive Officer (the “</w:t>
      </w:r>
      <w:r>
        <w:rPr>
          <w:rFonts w:ascii="Times New Roman" w:hAnsi="Times New Roman"/>
          <w:color w:val="000000"/>
          <w:sz w:val="24"/>
          <w:u w:val="single"/>
        </w:rPr>
        <w:t>CEO</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acknowledge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is and shall continue to be at-will, as defined under applicable law, and that Executive’s employment with the Company may be terminated by either party at any time for any or no reason (subject to the notice requirements of Section 4(a)).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a duly authorized officer of the Company or as provided by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The Executive agrees to perform the duties and responsibilities of the Executive’s positions, and such other duties and responsibilities as are</w:t>
      </w:r>
      <w:r>
        <w:rPr>
          <w:color w:val="000000"/>
        </w:rPr>
        <w:t xml:space="preserve"> </w:t>
      </w:r>
      <w:r>
        <w:rPr>
          <w:rFonts w:ascii="Times New Roman" w:hAnsi="Times New Roman"/>
          <w:color w:val="000000"/>
          <w:sz w:val="24"/>
        </w:rPr>
        <w:t>appropriate for the Executive’s positions and as may reasonably be assigned to the Executive from time to time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also</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while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 xml:space="preserve">by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Company, the Executive will devote the Executive’s full business time and the Executive’s</w:t>
      </w:r>
      <w:r>
        <w:rPr>
          <w:color w:val="000000"/>
        </w:rPr>
        <w:t xml:space="preserve"> </w:t>
      </w:r>
      <w:r>
        <w:rPr>
          <w:rFonts w:ascii="Times New Roman" w:hAnsi="Times New Roman"/>
          <w:color w:val="000000"/>
          <w:sz w:val="24"/>
        </w:rPr>
        <w:t>best</w:t>
      </w:r>
      <w:r>
        <w:rPr>
          <w:color w:val="000000"/>
        </w:rPr>
        <w:t xml:space="preserve"> </w:t>
      </w:r>
      <w:r>
        <w:rPr>
          <w:rFonts w:ascii="Times New Roman" w:hAnsi="Times New Roman"/>
          <w:color w:val="000000"/>
          <w:sz w:val="24"/>
        </w:rPr>
        <w:t>efforts,</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judgment,</w:t>
      </w:r>
      <w:r>
        <w:rPr>
          <w:color w:val="000000"/>
        </w:rPr>
        <w:t xml:space="preserve"> </w:t>
      </w:r>
      <w:r>
        <w:rPr>
          <w:rFonts w:ascii="Times New Roman" w:hAnsi="Times New Roman"/>
          <w:color w:val="000000"/>
          <w:sz w:val="24"/>
        </w:rPr>
        <w:t>skill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knowledge</w:t>
      </w:r>
      <w:r>
        <w:rPr>
          <w:color w:val="000000"/>
        </w:rPr>
        <w:t xml:space="preserve"> </w:t>
      </w:r>
      <w:r>
        <w:rPr>
          <w:rFonts w:ascii="Times New Roman" w:hAnsi="Times New Roman"/>
          <w:color w:val="000000"/>
          <w:sz w:val="24"/>
        </w:rPr>
        <w:t>exclusively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advancement of the business interests of the Company and its Affiliates and to the discharge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 (i)</w:t>
      </w:r>
      <w:r>
        <w:rPr>
          <w:color w:val="000000"/>
        </w:rPr>
        <w:t xml:space="preserve"> </w:t>
      </w:r>
      <w:r>
        <w:rPr>
          <w:rFonts w:ascii="Times New Roman" w:hAnsi="Times New Roman"/>
          <w:color w:val="000000"/>
          <w:sz w:val="24"/>
        </w:rPr>
        <w:t>engage</w:t>
      </w:r>
      <w:r>
        <w:rPr>
          <w:color w:val="000000"/>
        </w:rPr>
        <w:t xml:space="preserve"> </w:t>
      </w:r>
      <w:r>
        <w:rPr>
          <w:rFonts w:ascii="Times New Roman" w:hAnsi="Times New Roman"/>
          <w:color w:val="000000"/>
          <w:sz w:val="24"/>
        </w:rPr>
        <w:t>in any other</w:t>
      </w:r>
      <w:r>
        <w:rPr>
          <w:color w:val="000000"/>
        </w:rPr>
        <w:t xml:space="preserve"> </w:t>
      </w:r>
      <w:r>
        <w:rPr>
          <w:rFonts w:ascii="Times New Roman" w:hAnsi="Times New Roman"/>
          <w:color w:val="000000"/>
          <w:sz w:val="24"/>
        </w:rPr>
        <w:t>business activity, except as 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expressly approved in advance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writing,</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consider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faith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request</w:t>
      </w:r>
      <w:r>
        <w:rPr>
          <w:color w:val="000000"/>
        </w:rPr>
        <w:t xml:space="preserve"> </w:t>
      </w:r>
      <w:r>
        <w:rPr>
          <w:rFonts w:ascii="Times New Roman" w:hAnsi="Times New Roman"/>
          <w:color w:val="000000"/>
          <w:sz w:val="24"/>
        </w:rPr>
        <w:t>made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clause</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serve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industry,</w:t>
      </w:r>
      <w:r>
        <w:rPr>
          <w:color w:val="000000"/>
        </w:rPr>
        <w:t xml:space="preserve"> </w:t>
      </w:r>
      <w:r>
        <w:rPr>
          <w:rFonts w:ascii="Times New Roman" w:hAnsi="Times New Roman"/>
          <w:color w:val="000000"/>
          <w:sz w:val="24"/>
        </w:rPr>
        <w:t>trade,</w:t>
      </w:r>
      <w:r>
        <w:rPr>
          <w:color w:val="000000"/>
        </w:rPr>
        <w:t xml:space="preserve"> </w:t>
      </w:r>
      <w:r>
        <w:rPr>
          <w:rFonts w:ascii="Times New Roman" w:hAnsi="Times New Roman"/>
          <w:color w:val="000000"/>
          <w:sz w:val="24"/>
        </w:rPr>
        <w:t>professional, governmental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academic</w:t>
      </w:r>
      <w:r>
        <w:rPr>
          <w:color w:val="000000"/>
        </w:rPr>
        <w:t xml:space="preserve"> </w:t>
      </w:r>
      <w:r>
        <w:rPr>
          <w:rFonts w:ascii="Times New Roman" w:hAnsi="Times New Roman"/>
          <w:color w:val="000000"/>
          <w:sz w:val="24"/>
        </w:rPr>
        <w:t>position</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 expressly approved in advance by the CEO in writing, with approval of any service contemplated by this clause (ii) not to be unreasonably withheld; provided, however, that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participate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activities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Agreement and may, without advance consent, participate in charitable and/or civic activities and engage in personal investment activities, in each case, to the extent such activities, individually or in the aggregate, do not materially interfere with the performance of the Executive’s duties under this Agreement, create a conflict of interest or violate any restrictive</w:t>
      </w:r>
      <w:r>
        <w:rPr>
          <w:color w:val="000000"/>
        </w:rPr>
        <w:t xml:space="preserve"> </w:t>
      </w:r>
      <w:r>
        <w:rPr>
          <w:rFonts w:ascii="Times New Roman" w:hAnsi="Times New Roman"/>
          <w:color w:val="000000"/>
          <w:sz w:val="24"/>
        </w:rPr>
        <w:t>covenant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favor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 Affiliates.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pPr>
      <w:r>
        <w:rPr>
          <w:rFonts w:ascii="Times New Roman" w:hAnsi="Times New Roman"/>
          <w:b/>
          <w:color w:val="000000"/>
          <w:sz w:val="24"/>
        </w:rPr>
        <w:t>Compensation and Benefits</w:t>
      </w:r>
      <w:r>
        <w:rPr>
          <w:rFonts w:ascii="Times New Roman" w:hAnsi="Times New Roman"/>
          <w:color w:val="000000"/>
          <w:sz w:val="24"/>
        </w:rPr>
        <w:t>. During the Executive’s employment hereunder, as compensation for all services performed by the Executive for the Company and its Affiliates, the Company will provide the Executive with the following compensation and benefits: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Base Salary</w:t>
      </w:r>
      <w:r>
        <w:rPr>
          <w:rFonts w:ascii="Times New Roman" w:hAnsi="Times New Roman"/>
          <w:color w:val="000000"/>
          <w:sz w:val="24"/>
        </w:rPr>
        <w:t>. The Company will pay the Executive a base salary at the rate of $515,000 per year (pro-rated for partial years of employment), in accordance with the regular payroll practices of the Company and subject to increase from time to time as 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Talent</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Compensation</w:t>
      </w:r>
      <w:r>
        <w:rPr>
          <w:color w:val="000000"/>
          <w:u w:val="single"/>
        </w:rPr>
        <w:t xml:space="preserve"> </w:t>
      </w:r>
      <w:r>
        <w:rPr>
          <w:rFonts w:ascii="Times New Roman" w:hAnsi="Times New Roman"/>
          <w:color w:val="000000"/>
          <w:sz w:val="24"/>
          <w:u w:val="single"/>
        </w:rPr>
        <w:t>Committee</w:t>
      </w:r>
      <w:r>
        <w:rPr>
          <w:color w:val="000000"/>
        </w:rPr>
        <w:t>”</w:t>
      </w:r>
      <w:r>
        <w:rPr>
          <w:rFonts w:ascii="Times New Roman" w:hAnsi="Times New Roman"/>
          <w:color w:val="000000"/>
          <w:sz w:val="24"/>
        </w:rPr>
        <w:t>) of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in its sole discretion (with such base salary,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increased</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Base</w:t>
      </w:r>
      <w:r>
        <w:rPr>
          <w:color w:val="000000"/>
          <w:u w:val="single"/>
        </w:rPr>
        <w:t xml:space="preserve"> </w:t>
      </w:r>
      <w:r>
        <w:rPr>
          <w:rFonts w:ascii="Times New Roman" w:hAnsi="Times New Roman"/>
          <w:color w:val="000000"/>
          <w:sz w:val="24"/>
          <w:u w:val="single"/>
        </w:rPr>
        <w:t>Salary</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anything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contrary in the foregoing, the Base Salary may be reduced, on a proportionate basis, in connection with an across-the-board base salary reduction applicable to all senior executives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Bonus Compensation</w:t>
      </w:r>
      <w:r>
        <w:rPr>
          <w:rFonts w:ascii="Times New Roman" w:hAnsi="Times New Roman"/>
          <w:color w:val="000000"/>
          <w:sz w:val="24"/>
        </w:rPr>
        <w:t>. For each fiscal year completed during the Executive’s employment under this Agreement, the Executive will be eligible to earn an annual bonus (each, an “</w:t>
      </w:r>
      <w:r>
        <w:rPr>
          <w:rFonts w:ascii="Times New Roman" w:hAnsi="Times New Roman"/>
          <w:color w:val="000000"/>
          <w:sz w:val="24"/>
          <w:u w:val="single"/>
        </w:rPr>
        <w:t>Annual Bonus</w:t>
      </w:r>
      <w:r>
        <w:rPr>
          <w:color w:val="000000"/>
        </w:rPr>
        <w:t>”</w:t>
      </w:r>
      <w:r>
        <w:rPr>
          <w:rFonts w:ascii="Times New Roman" w:hAnsi="Times New Roman"/>
          <w:color w:val="000000"/>
          <w:sz w:val="24"/>
        </w:rPr>
        <w:t>), pursuant to the Company’s bonus plan as in 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Bonus</w:t>
      </w:r>
      <w:r>
        <w:rPr>
          <w:color w:val="000000"/>
          <w:u w:val="single"/>
        </w:rPr>
        <w:t xml:space="preserve"> </w:t>
      </w:r>
      <w:r>
        <w:rPr>
          <w:rFonts w:ascii="Times New Roman" w:hAnsi="Times New Roman"/>
          <w:color w:val="000000"/>
          <w:sz w:val="24"/>
          <w:u w:val="single"/>
        </w:rPr>
        <w:t>Plan</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 40% of the Base Salary (the “</w:t>
      </w:r>
      <w:r>
        <w:rPr>
          <w:rFonts w:ascii="Times New Roman" w:hAnsi="Times New Roman"/>
          <w:color w:val="000000"/>
          <w:sz w:val="24"/>
          <w:u w:val="single"/>
        </w:rPr>
        <w:t>Target Bonus</w:t>
      </w:r>
      <w:r>
        <w:rPr>
          <w:color w:val="000000"/>
        </w:rPr>
        <w:t>”</w:t>
      </w:r>
      <w:r>
        <w:rPr>
          <w:rFonts w:ascii="Times New Roman" w:hAnsi="Times New Roman"/>
          <w:color w:val="000000"/>
          <w:sz w:val="24"/>
        </w:rPr>
        <w:t>), with the actual amount of any such Annual Bonus to be reasonably determined by the Compensation Committee in accordance with the Bonus Plan, based on the Executive’s performance and the Company’s performance against</w:t>
      </w:r>
      <w:r>
        <w:rPr>
          <w:color w:val="000000"/>
        </w:rPr>
        <w:t xml:space="preserve"> </w:t>
      </w:r>
      <w:r>
        <w:rPr>
          <w:rFonts w:ascii="Times New Roman" w:hAnsi="Times New Roman"/>
          <w:color w:val="000000"/>
          <w:sz w:val="24"/>
        </w:rPr>
        <w:t>goals</w:t>
      </w:r>
      <w:r>
        <w:rPr>
          <w:color w:val="000000"/>
        </w:rPr>
        <w:t xml:space="preserve"> </w:t>
      </w:r>
      <w:r>
        <w:rPr>
          <w:rFonts w:ascii="Times New Roman" w:hAnsi="Times New Roman"/>
          <w:color w:val="000000"/>
          <w:sz w:val="24"/>
        </w:rPr>
        <w:t>reasonably established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relevant</w:t>
      </w:r>
      <w:r>
        <w:rPr>
          <w:color w:val="000000"/>
        </w:rPr>
        <w:t xml:space="preserve"> </w:t>
      </w:r>
      <w:r>
        <w:rPr>
          <w:rFonts w:ascii="Times New Roman" w:hAnsi="Times New Roman"/>
          <w:color w:val="000000"/>
          <w:sz w:val="24"/>
        </w:rPr>
        <w:t>fiscal year.</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order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the Executive must be employed with the Company through the date on which such Annual Bonus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 Bonus Plan.</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w:t>
      </w:r>
      <w:r>
        <w:rPr>
          <w:rFonts w:ascii="Times New Roman" w:hAnsi="Times New Roman"/>
          <w:color w:val="000000"/>
          <w:sz w:val="24"/>
        </w:rPr>
        <w:t>. The Executive will be eligible for grants of equity or equity-based awards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 at the discretion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Participation in Employee Benefit Plans</w:t>
      </w:r>
      <w:r>
        <w:rPr>
          <w:rFonts w:ascii="Times New Roman" w:hAnsi="Times New Roman"/>
          <w:color w:val="000000"/>
          <w:sz w:val="24"/>
        </w:rPr>
        <w:t>. The Executive will be entitled to participate in all Company employee benefit plans from time to time in effect for the Company’s senior executives of comparable status, except to the extent such plans are duplicative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 event this Agreement shall control unless this Agreement expressly provides otherwise.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participation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benefit</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applicable plan documents and generally applicable Company policies, as the same may be in effect from time to time, and any other restrictions or limitations imposed by law. Nothing in this Agreement shall preclude the Company from amending, terminating or replacing any of its plans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Paid Time Off</w:t>
      </w:r>
      <w:r>
        <w:rPr>
          <w:rFonts w:ascii="Times New Roman" w:hAnsi="Times New Roman"/>
          <w:color w:val="000000"/>
          <w:sz w:val="24"/>
        </w:rPr>
        <w:t>. The Executive will be entitled to paid time off (“</w:t>
      </w:r>
      <w:r>
        <w:rPr>
          <w:rFonts w:ascii="Times New Roman" w:hAnsi="Times New Roman"/>
          <w:color w:val="000000"/>
          <w:sz w:val="24"/>
          <w:u w:val="single"/>
        </w:rPr>
        <w:t>PTO</w:t>
      </w:r>
      <w:r>
        <w:rPr>
          <w:color w:val="000000"/>
        </w:rPr>
        <w:t>”</w:t>
      </w:r>
      <w:r>
        <w:rPr>
          <w:rFonts w:ascii="Times New Roman" w:hAnsi="Times New Roman"/>
          <w:color w:val="000000"/>
          <w:sz w:val="24"/>
        </w:rPr>
        <w:t>) in accordance with the policies of the Company as in effect for the Company’s senior executives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comparable</w:t>
      </w:r>
      <w:r>
        <w:rPr>
          <w:color w:val="000000"/>
        </w:rPr>
        <w:t xml:space="preserve"> </w:t>
      </w:r>
      <w:r>
        <w:rPr>
          <w:rFonts w:ascii="Times New Roman" w:hAnsi="Times New Roman"/>
          <w:color w:val="000000"/>
          <w:sz w:val="24"/>
        </w:rPr>
        <w:t>status,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 effect 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 PTO</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taken at</w:t>
      </w:r>
      <w:r>
        <w:rPr>
          <w:color w:val="000000"/>
        </w:rPr>
        <w:t xml:space="preserve"> </w:t>
      </w:r>
      <w:r>
        <w:rPr>
          <w:rFonts w:ascii="Times New Roman" w:hAnsi="Times New Roman"/>
          <w:color w:val="000000"/>
          <w:sz w:val="24"/>
        </w:rPr>
        <w:t>such times and intervals as the Executive shall determine, subject to the Company’s business needs.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Business Expenses</w:t>
      </w:r>
      <w:r>
        <w:rPr>
          <w:rFonts w:ascii="Times New Roman" w:hAnsi="Times New Roman"/>
          <w:color w:val="000000"/>
          <w:sz w:val="24"/>
        </w:rPr>
        <w:t>. The Company will pay or reimburse the Executive for all reasonable business expenses incurred or paid by the Executive in the performance of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policy as in effect from time to time and to such reasonable substantiation and documentation as 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 Company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 reimbursement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additional</w:t>
      </w:r>
      <w:r>
        <w:rPr>
          <w:color w:val="000000"/>
        </w:rPr>
        <w:t xml:space="preserve"> </w:t>
      </w:r>
      <w:r>
        <w:rPr>
          <w:rFonts w:ascii="Times New Roman" w:hAnsi="Times New Roman"/>
          <w:color w:val="000000"/>
          <w:sz w:val="24"/>
        </w:rPr>
        <w:t>rules: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the amount of</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affect the</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 (ii)</w:t>
      </w:r>
      <w:r>
        <w:rPr>
          <w:color w:val="000000"/>
        </w:rPr>
        <w:t xml:space="preserve"> </w:t>
      </w:r>
      <w:r>
        <w:rPr>
          <w:rFonts w:ascii="Times New Roman" w:hAnsi="Times New Roman"/>
          <w:color w:val="000000"/>
          <w:sz w:val="24"/>
        </w:rPr>
        <w:t>payment or reimbursement shall be made not later than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calendar year</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expense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incurred;</w:t>
      </w:r>
      <w:r>
        <w:rPr>
          <w:color w:val="000000"/>
        </w:rPr>
        <w:t xml:space="preserve"> </w:t>
      </w:r>
      <w:r>
        <w:rPr>
          <w:rFonts w:ascii="Times New Roman" w:hAnsi="Times New Roman"/>
          <w:color w:val="000000"/>
          <w:sz w:val="24"/>
        </w:rPr>
        <w:t>and (iii)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 to payment or</w:t>
      </w:r>
      <w:r>
        <w:rPr>
          <w:color w:val="000000"/>
        </w:rPr>
        <w:t xml:space="preserve"> </w:t>
      </w:r>
      <w:r>
        <w:rPr>
          <w:rFonts w:ascii="Times New Roman" w:hAnsi="Times New Roman"/>
          <w:color w:val="000000"/>
          <w:sz w:val="24"/>
        </w:rPr>
        <w:t>reimbursement shall not be</w:t>
      </w:r>
      <w:r>
        <w:rPr>
          <w:color w:val="000000"/>
        </w:rPr>
        <w:t xml:space="preserve"> </w:t>
      </w:r>
      <w:r>
        <w:rPr>
          <w:rFonts w:ascii="Times New Roman" w:hAnsi="Times New Roman"/>
          <w:color w:val="000000"/>
          <w:sz w:val="24"/>
        </w:rPr>
        <w:t>subject to liquidation or</w:t>
      </w:r>
      <w:r>
        <w:rPr>
          <w:color w:val="000000"/>
        </w:rPr>
        <w:t xml:space="preserve"> </w:t>
      </w:r>
      <w:r>
        <w:rPr>
          <w:rFonts w:ascii="Times New Roman" w:hAnsi="Times New Roman"/>
          <w:color w:val="000000"/>
          <w:sz w:val="24"/>
        </w:rPr>
        <w:t>exchange for any other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Key Man Life Insurance</w:t>
      </w:r>
      <w:r>
        <w:rPr>
          <w:rFonts w:ascii="Times New Roman" w:hAnsi="Times New Roman"/>
          <w:color w:val="000000"/>
          <w:sz w:val="24"/>
        </w:rPr>
        <w:t>. The Company shall have the right to insure the life of the Executive for the Company’s sole benefit, and if the Company exercises this right, the Company shall determine the amount of insurance and the type of policy obtained. The Executive shall reasonably cooperate with the Company in obtaining such insurance by submitting to reasonable physical examinations, supplying all information reasonably required by any insurance carrier and executing all necessary documents reasonably required by any insurance carrier; provided, that, any information provided to an insurance company or broker shall not be provided to the Company without the prior written authorization of the Executive. The Executive shall incur no financial obligation by executing any required document and shall have no interest in any such policy.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D&amp;O Insurance; Indemnification</w:t>
      </w:r>
      <w:r>
        <w:rPr>
          <w:rFonts w:ascii="Times New Roman" w:hAnsi="Times New Roman"/>
          <w:color w:val="000000"/>
          <w:sz w:val="24"/>
        </w:rPr>
        <w:t>. During the Executive’s period of employment with the Company and thereafter, the Company shall maintain D&amp;O insurance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customary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organization</w:t>
      </w:r>
      <w:r>
        <w:rPr>
          <w:color w:val="000000"/>
        </w:rPr>
        <w:t xml:space="preserve"> </w:t>
      </w:r>
      <w:r>
        <w:rPr>
          <w:rFonts w:ascii="Times New Roman" w:hAnsi="Times New Roman"/>
          <w:color w:val="000000"/>
          <w:sz w:val="24"/>
        </w:rPr>
        <w:t>similar to</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addition,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defend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indemnify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to the maximum extent allowable under its articles of organization, by-laws and charter and under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rPr>
        <w:t>Termination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Employment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 shall continue until terminated pursuant to this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By the Company for Cause</w:t>
      </w:r>
      <w:r>
        <w:rPr>
          <w:rFonts w:ascii="Times New Roman" w:hAnsi="Times New Roman"/>
          <w:color w:val="000000"/>
          <w:sz w:val="24"/>
        </w:rPr>
        <w:t>. The Company may terminate the Executive’s employment for Cause upon notice to the Executive setting forth in reasonable detail the nature of the Cause.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the occurrence of any of the following: (i) the Executive’s willful and repeated refusal to comply with a lawful</w:t>
      </w:r>
      <w:r>
        <w:rPr>
          <w:color w:val="000000"/>
        </w:rPr>
        <w:t xml:space="preserve"> </w:t>
      </w:r>
      <w:r>
        <w:rPr>
          <w:rFonts w:ascii="Times New Roman" w:hAnsi="Times New Roman"/>
          <w:color w:val="000000"/>
          <w:sz w:val="24"/>
        </w:rPr>
        <w:t>directive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Board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physical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mental</w:t>
      </w:r>
      <w:r>
        <w:rPr>
          <w:color w:val="000000"/>
        </w:rPr>
        <w:t xml:space="preserve"> </w:t>
      </w:r>
      <w:r>
        <w:rPr>
          <w:rFonts w:ascii="Times New Roman" w:hAnsi="Times New Roman"/>
          <w:color w:val="000000"/>
          <w:sz w:val="24"/>
        </w:rPr>
        <w:t>incapacity), (ii)</w:t>
      </w:r>
      <w:r>
        <w:rPr>
          <w:color w:val="000000"/>
        </w:rPr>
        <w:t xml:space="preserve"> </w:t>
      </w:r>
      <w:r>
        <w:rPr>
          <w:rFonts w:ascii="Times New Roman" w:hAnsi="Times New Roman"/>
          <w:color w:val="000000"/>
          <w:sz w:val="24"/>
        </w:rPr>
        <w:t>the Executive’s gross negligence or willful misconduct in the performance of the Executive’s duties and responsibilities to the Company or any of its Affiliates, (iii) the Executive’s</w:t>
      </w:r>
      <w:r>
        <w:rPr>
          <w:color w:val="000000"/>
        </w:rPr>
        <w:t xml:space="preserve"> </w:t>
      </w:r>
      <w:r>
        <w:rPr>
          <w:rFonts w:ascii="Times New Roman" w:hAnsi="Times New Roman"/>
          <w:color w:val="000000"/>
          <w:sz w:val="24"/>
        </w:rPr>
        <w:t>use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illegal</w:t>
      </w:r>
      <w:r>
        <w:rPr>
          <w:color w:val="000000"/>
        </w:rPr>
        <w:t xml:space="preserve"> </w:t>
      </w:r>
      <w:r>
        <w:rPr>
          <w:rFonts w:ascii="Times New Roman" w:hAnsi="Times New Roman"/>
          <w:color w:val="000000"/>
          <w:sz w:val="24"/>
        </w:rPr>
        <w:t>drugs</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workplace)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similar</w:t>
      </w:r>
      <w:r>
        <w:rPr>
          <w:color w:val="000000"/>
        </w:rPr>
        <w:t xml:space="preserve"> </w:t>
      </w:r>
      <w:r>
        <w:rPr>
          <w:rFonts w:ascii="Times New Roman" w:hAnsi="Times New Roman"/>
          <w:color w:val="000000"/>
          <w:sz w:val="24"/>
        </w:rPr>
        <w:t>conduct, even if not in conjunction with the Executive’s duties to the Company or any of its Affiliates, which could reasonably be expected to, or which does, cause the Company or any of its Affiliates to public disgrace or disrepute or material economic harm; (iv) the Executive’s material and willful breach of (A) this Agreement, (B) any Restrictive Covenant Agreement (as defined below) or (C) any written Company policy or code of ethics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conduct,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position,</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 from time to time, of which the Executive has received prior written notice, (v) the Executive’s indictment for (or procedural equivalent thereof), or plea of guilty or nolo contendere</w:t>
      </w:r>
      <w:r>
        <w:rPr>
          <w:color w:val="000000"/>
        </w:rPr>
        <w:t xml:space="preserve"> </w:t>
      </w:r>
      <w:r>
        <w:rPr>
          <w:rFonts w:ascii="Times New Roman" w:hAnsi="Times New Roman"/>
          <w:color w:val="000000"/>
          <w:sz w:val="24"/>
        </w:rPr>
        <w:t>to (A)</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felony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any crime</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moral</w:t>
      </w:r>
      <w:r>
        <w:rPr>
          <w:color w:val="000000"/>
        </w:rPr>
        <w:t xml:space="preserve"> </w:t>
      </w:r>
      <w:r>
        <w:rPr>
          <w:rFonts w:ascii="Times New Roman" w:hAnsi="Times New Roman"/>
          <w:color w:val="000000"/>
          <w:sz w:val="24"/>
        </w:rPr>
        <w:t>turpitude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in each case, a traffic related offense); or (vi) fraud, theft, embezzlement, unlawful harassment or other intentional misconduct by the Executive that is or could reasonably be expected to be materially harmful to the business interests or reputation of the Company or any of its Affiliates.</w:t>
      </w:r>
      <w:r>
        <w:rPr>
          <w:color w:val="000000"/>
        </w:rPr>
        <w:t xml:space="preserve"> </w:t>
      </w:r>
      <w:r>
        <w:rPr>
          <w:rFonts w:ascii="Times New Roman" w:hAnsi="Times New Roman"/>
          <w:color w:val="000000"/>
          <w:sz w:val="24"/>
        </w:rPr>
        <w:t>Further,</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clauses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above, unless (I) the Company provides the Executive with written notice of the event(s) alleged to constitute Cause thereunder; and (II) if such event(s) are susceptible to cure, the Executive has a fifteen (15)-day period in which to cure such event(s) following the Executive’s receipt of such written notice, and the Executive fails to cure such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By the Company without Cause</w:t>
      </w:r>
      <w:r>
        <w:rPr>
          <w:rFonts w:ascii="Times New Roman" w:hAnsi="Times New Roman"/>
          <w:color w:val="000000"/>
          <w:sz w:val="24"/>
        </w:rPr>
        <w:t>. The Company may terminate the Executive’s employment at any time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By the Executive for Good Reason</w:t>
      </w:r>
      <w:r>
        <w:rPr>
          <w:rFonts w:ascii="Times New Roman" w:hAnsi="Times New Roman"/>
          <w:color w:val="000000"/>
          <w:sz w:val="24"/>
        </w:rPr>
        <w:t>. The Executive may terminate the Executive’s employment for Good Reason. For purposes of this Agreement, “</w:t>
      </w:r>
      <w:r>
        <w:rPr>
          <w:rFonts w:ascii="Times New Roman" w:hAnsi="Times New Roman"/>
          <w:color w:val="000000"/>
          <w:sz w:val="24"/>
          <w:u w:val="single"/>
        </w:rPr>
        <w:t>Good</w:t>
      </w:r>
      <w:r>
        <w:rPr>
          <w:color w:val="000000"/>
        </w:rPr>
        <w:t xml:space="preserve"> </w:t>
      </w:r>
      <w:r>
        <w:rPr>
          <w:rFonts w:ascii="Times New Roman" w:hAnsi="Times New Roman"/>
          <w:color w:val="000000"/>
          <w:sz w:val="24"/>
          <w:u w:val="single"/>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diminution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 or</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diminution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greater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applied across-the-board to all similarly-situated executives of the Company on a proportionate basis, (ii) any material diminution in the Executive’s titles, authority, duties or responsibilities, (iii) a permanent reassignment of the Executive’s primary office to a location</w:t>
      </w:r>
      <w:r>
        <w:rPr>
          <w:color w:val="000000"/>
        </w:rPr>
        <w:t xml:space="preserve"> </w:t>
      </w:r>
      <w:r>
        <w:rPr>
          <w:rFonts w:ascii="Times New Roman" w:hAnsi="Times New Roman"/>
          <w:color w:val="000000"/>
          <w:sz w:val="24"/>
        </w:rPr>
        <w:t>more</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thirty-five</w:t>
      </w:r>
      <w:r>
        <w:rPr>
          <w:color w:val="000000"/>
        </w:rPr>
        <w:t xml:space="preserve"> </w:t>
      </w:r>
      <w:r>
        <w:rPr>
          <w:rFonts w:ascii="Times New Roman" w:hAnsi="Times New Roman"/>
          <w:color w:val="000000"/>
          <w:sz w:val="24"/>
        </w:rPr>
        <w:t>(35)</w:t>
      </w:r>
      <w:r>
        <w:rPr>
          <w:color w:val="000000"/>
        </w:rPr>
        <w:t xml:space="preserve"> </w:t>
      </w:r>
      <w:r>
        <w:rPr>
          <w:rFonts w:ascii="Times New Roman" w:hAnsi="Times New Roman"/>
          <w:color w:val="000000"/>
          <w:sz w:val="24"/>
        </w:rPr>
        <w:t>miles</w:t>
      </w:r>
      <w:r>
        <w:rPr>
          <w:color w:val="000000"/>
        </w:rPr>
        <w:t xml:space="preserve"> </w:t>
      </w:r>
      <w:r>
        <w:rPr>
          <w:rFonts w:ascii="Times New Roman" w:hAnsi="Times New Roman"/>
          <w:color w:val="000000"/>
          <w:sz w:val="24"/>
        </w:rPr>
        <w:t>away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then-current</w:t>
      </w:r>
      <w:r>
        <w:rPr>
          <w:color w:val="000000"/>
        </w:rPr>
        <w:t xml:space="preserve"> </w:t>
      </w:r>
      <w:r>
        <w:rPr>
          <w:rFonts w:ascii="Times New Roman" w:hAnsi="Times New Roman"/>
          <w:color w:val="000000"/>
          <w:sz w:val="24"/>
        </w:rPr>
        <w:t xml:space="preserve">principal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place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clause (iii)</w:t>
      </w:r>
      <w:r>
        <w:rPr>
          <w:color w:val="000000"/>
        </w:rPr>
        <w:t xml:space="preserve"> </w:t>
      </w:r>
      <w:r>
        <w:rPr>
          <w:rFonts w:ascii="Times New Roman" w:hAnsi="Times New Roman"/>
          <w:color w:val="000000"/>
          <w:sz w:val="24"/>
        </w:rPr>
        <w:t>if the Executive is permitted to work remotely, in which case, any material adverse change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remote</w:t>
      </w:r>
      <w:r>
        <w:rPr>
          <w:color w:val="000000"/>
        </w:rPr>
        <w:t xml:space="preserve"> </w:t>
      </w:r>
      <w:r>
        <w:rPr>
          <w:rFonts w:ascii="Times New Roman" w:hAnsi="Times New Roman"/>
          <w:color w:val="000000"/>
          <w:sz w:val="24"/>
        </w:rPr>
        <w:t>work</w:t>
      </w:r>
      <w:r>
        <w:rPr>
          <w:color w:val="000000"/>
        </w:rPr>
        <w:t xml:space="preserve"> </w:t>
      </w:r>
      <w:r>
        <w:rPr>
          <w:rFonts w:ascii="Times New Roman" w:hAnsi="Times New Roman"/>
          <w:color w:val="000000"/>
          <w:sz w:val="24"/>
        </w:rPr>
        <w:t>arrangement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instead</w:t>
      </w:r>
      <w:r>
        <w:rPr>
          <w:color w:val="000000"/>
        </w:rPr>
        <w:t xml:space="preserve"> </w:t>
      </w:r>
      <w:r>
        <w:rPr>
          <w:rFonts w:ascii="Times New Roman" w:hAnsi="Times New Roman"/>
          <w:color w:val="000000"/>
          <w:sz w:val="24"/>
        </w:rPr>
        <w:t>constitute</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a material breach by the Company of this Agreement, any Restrictive Covenant Agreement or any of the Equity Documents (defined as the documents governing any equity or equity-based interests of the Company or any Affiliate thereof that are held by the Executive);</w:t>
      </w:r>
      <w:r>
        <w:rPr>
          <w:color w:val="000000"/>
        </w:rPr>
        <w:t xml:space="preserve">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 Executive has provided the Company with written notice of the event(s) alleged to constitute Good Reason within sixty (60) days after the date on which the Executive first obtains knowledge of the occurrence of the event(s) alleged to constitute Good Reason, and the Company has failed to cure such event(s) within thirty (30) days following its receipt of such written notice. The Executive may terminate the Executive’s employment 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(30)-day</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(30)-day</w:t>
      </w:r>
      <w:r>
        <w:rPr>
          <w:color w:val="000000"/>
        </w:rPr>
        <w:t xml:space="preserve"> </w:t>
      </w:r>
      <w:r>
        <w:rPr>
          <w:rFonts w:ascii="Times New Roman" w:hAnsi="Times New Roman"/>
          <w:color w:val="000000"/>
          <w:sz w:val="24"/>
        </w:rPr>
        <w:t>cure period has expired, and if the Executive fails to effect such a termination, then the Executive</w:t>
      </w:r>
      <w:r>
        <w:rPr>
          <w:color w:val="000000"/>
        </w:rPr>
        <w:t xml:space="preserve"> </w:t>
      </w:r>
      <w:r>
        <w:rPr>
          <w:rFonts w:ascii="Times New Roman" w:hAnsi="Times New Roman"/>
          <w:color w:val="000000"/>
          <w:sz w:val="24"/>
        </w:rPr>
        <w:t>will be</w:t>
      </w:r>
      <w:r>
        <w:rPr>
          <w:color w:val="000000"/>
        </w:rPr>
        <w:t xml:space="preserve"> </w:t>
      </w:r>
      <w:r>
        <w:rPr>
          <w:rFonts w:ascii="Times New Roman" w:hAnsi="Times New Roman"/>
          <w:color w:val="000000"/>
          <w:sz w:val="24"/>
        </w:rPr>
        <w:t>deemed to have</w:t>
      </w:r>
      <w:r>
        <w:rPr>
          <w:color w:val="000000"/>
        </w:rPr>
        <w:t xml:space="preserve"> </w:t>
      </w:r>
      <w:r>
        <w:rPr>
          <w:rFonts w:ascii="Times New Roman" w:hAnsi="Times New Roman"/>
          <w:color w:val="000000"/>
          <w:sz w:val="24"/>
        </w:rPr>
        <w:t>irrevocably waived the</w:t>
      </w:r>
      <w:r>
        <w:rPr>
          <w:color w:val="000000"/>
        </w:rPr>
        <w:t xml:space="preserve"> </w:t>
      </w:r>
      <w:r>
        <w:rPr>
          <w:rFonts w:ascii="Times New Roman" w:hAnsi="Times New Roman"/>
          <w:color w:val="000000"/>
          <w:sz w:val="24"/>
        </w:rPr>
        <w:t>right to resign 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 on the basis of such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By</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Executive</w:t>
      </w:r>
      <w:r>
        <w:rPr>
          <w:color w:val="000000"/>
          <w:u w:val="single"/>
        </w:rPr>
        <w:t xml:space="preserve"> </w:t>
      </w:r>
      <w:r>
        <w:rPr>
          <w:rFonts w:ascii="Times New Roman" w:hAnsi="Times New Roman"/>
          <w:color w:val="000000"/>
          <w:sz w:val="24"/>
          <w:u w:val="single"/>
        </w:rPr>
        <w:t>other</w:t>
      </w:r>
      <w:r>
        <w:rPr>
          <w:color w:val="000000"/>
          <w:u w:val="single"/>
        </w:rPr>
        <w:t xml:space="preserve"> </w:t>
      </w:r>
      <w:r>
        <w:rPr>
          <w:rFonts w:ascii="Times New Roman" w:hAnsi="Times New Roman"/>
          <w:color w:val="000000"/>
          <w:sz w:val="24"/>
          <w:u w:val="single"/>
        </w:rPr>
        <w:t>than</w:t>
      </w:r>
      <w:r>
        <w:rPr>
          <w:color w:val="000000"/>
          <w:u w:val="single"/>
        </w:rPr>
        <w:t xml:space="preserve"> </w:t>
      </w:r>
      <w:r>
        <w:rPr>
          <w:rFonts w:ascii="Times New Roman" w:hAnsi="Times New Roman"/>
          <w:color w:val="000000"/>
          <w:sz w:val="24"/>
          <w:u w:val="single"/>
        </w:rPr>
        <w:t>for</w:t>
      </w:r>
      <w:r>
        <w:rPr>
          <w:color w:val="000000"/>
          <w:u w:val="single"/>
        </w:rPr>
        <w:t xml:space="preserve"> </w:t>
      </w:r>
      <w:r>
        <w:rPr>
          <w:rFonts w:ascii="Times New Roman" w:hAnsi="Times New Roman"/>
          <w:color w:val="000000"/>
          <w:sz w:val="24"/>
          <w:u w:val="single"/>
        </w:rPr>
        <w:t>Good</w:t>
      </w:r>
      <w:r>
        <w:rPr>
          <w:color w:val="000000"/>
          <w:u w:val="single"/>
        </w:rPr>
        <w:t xml:space="preserve"> </w:t>
      </w:r>
      <w:r>
        <w:rPr>
          <w:rFonts w:ascii="Times New Roman" w:hAnsi="Times New Roman"/>
          <w:color w:val="000000"/>
          <w:sz w:val="24"/>
          <w:u w:val="single"/>
        </w:rPr>
        <w:t>Reason</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terminate the Executive’s employment at any time upon thirty (30) days’ written notice to the Company. In the event of such resignation, the Company may accelerate the date of the Executive’s termination without such acceleration constituting a termination by the Company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Death and Disability</w:t>
      </w:r>
      <w:r>
        <w:rPr>
          <w:rFonts w:ascii="Times New Roman" w:hAnsi="Times New Roman"/>
          <w:color w:val="000000"/>
          <w:sz w:val="24"/>
        </w:rPr>
        <w:t>. The Executive’s employment hereunder shall automatically terminate in the event of the Executive’s death during employment. The Company may terminate the Executive’s employment, upon written notice to the Executive, in the event that the Executive becomes disabled during the Executive’s employment hereunder through any illness, injury, accident or condition of either a physical or psychological nature, whereby, as a result, the Executive is unable to perform substantially all of the Executive’s duties and responsibilities hereunder, even with a reasonable</w:t>
      </w:r>
      <w:r>
        <w:rPr>
          <w:color w:val="000000"/>
        </w:rPr>
        <w:t xml:space="preserve"> </w:t>
      </w:r>
      <w:r>
        <w:rPr>
          <w:rFonts w:ascii="Times New Roman" w:hAnsi="Times New Roman"/>
          <w:color w:val="000000"/>
          <w:sz w:val="24"/>
        </w:rPr>
        <w:t>accommodation,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hundred</w:t>
      </w:r>
      <w:r>
        <w:rPr>
          <w:color w:val="000000"/>
        </w:rPr>
        <w:t xml:space="preserve"> </w:t>
      </w:r>
      <w:r>
        <w:rPr>
          <w:rFonts w:ascii="Times New Roman" w:hAnsi="Times New Roman"/>
          <w:color w:val="000000"/>
          <w:sz w:val="24"/>
        </w:rPr>
        <w:t>twenty</w:t>
      </w:r>
      <w:r>
        <w:rPr>
          <w:color w:val="000000"/>
        </w:rPr>
        <w:t xml:space="preserve"> </w:t>
      </w:r>
      <w:r>
        <w:rPr>
          <w:rFonts w:ascii="Times New Roman" w:hAnsi="Times New Roman"/>
          <w:color w:val="000000"/>
          <w:sz w:val="24"/>
        </w:rPr>
        <w:t>(120)</w:t>
      </w:r>
      <w:r>
        <w:rPr>
          <w:color w:val="000000"/>
        </w:rPr>
        <w:t xml:space="preserve"> </w:t>
      </w:r>
      <w:r>
        <w:rPr>
          <w:rFonts w:ascii="Times New Roman" w:hAnsi="Times New Roman"/>
          <w:color w:val="000000"/>
          <w:sz w:val="24"/>
        </w:rPr>
        <w:t>consecutive</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or one hundred and fifty (150) days (whether or not consecutive) during any period of three hundred sixty-five (365) consecutive days. If any question shall arise as to whether the 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disabled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unable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perform</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 of the Executive’s duties and responsibilities for the Company and its Affiliates, the 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request and cost,</w:t>
      </w:r>
      <w:r>
        <w:rPr>
          <w:color w:val="000000"/>
        </w:rPr>
        <w:t xml:space="preserve"> </w:t>
      </w:r>
      <w:r>
        <w:rPr>
          <w:rFonts w:ascii="Times New Roman" w:hAnsi="Times New Roman"/>
          <w:color w:val="000000"/>
          <w:sz w:val="24"/>
        </w:rPr>
        <w:t>submit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medical</w:t>
      </w:r>
      <w:r>
        <w:rPr>
          <w:color w:val="000000"/>
        </w:rPr>
        <w:t xml:space="preserve"> </w:t>
      </w:r>
      <w:r>
        <w:rPr>
          <w:rFonts w:ascii="Times New Roman" w:hAnsi="Times New Roman"/>
          <w:color w:val="000000"/>
          <w:sz w:val="24"/>
        </w:rPr>
        <w:t>examination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 physician</w:t>
      </w:r>
      <w:r>
        <w:rPr>
          <w:color w:val="000000"/>
        </w:rPr>
        <w:t xml:space="preserve"> </w:t>
      </w:r>
      <w:r>
        <w:rPr>
          <w:rFonts w:ascii="Times New Roman" w:hAnsi="Times New Roman"/>
          <w:color w:val="000000"/>
          <w:sz w:val="24"/>
        </w:rPr>
        <w:t>selected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guardian,</w:t>
      </w:r>
      <w:r>
        <w:rPr>
          <w:color w:val="000000"/>
        </w:rPr>
        <w:t xml:space="preserve"> </w:t>
      </w:r>
      <w:r>
        <w:rPr>
          <w:rFonts w:ascii="Times New Roman" w:hAnsi="Times New Roman"/>
          <w:color w:val="000000"/>
          <w:sz w:val="24"/>
        </w:rPr>
        <w:t>if any, has no reasonable objection to determine whether the Executive is so disabled, and such</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conclusive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such a question arises and the Executive fails to submit to the requested medical examination, the Company’s good faith, reasonable determination of the issue shall be binding on the Executive.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pPr>
      <w:r>
        <w:rPr>
          <w:rFonts w:ascii="Times New Roman" w:hAnsi="Times New Roman"/>
          <w:b/>
          <w:color w:val="000000"/>
          <w:sz w:val="24"/>
        </w:rPr>
        <w:t>Other</w:t>
      </w:r>
      <w:r>
        <w:rPr>
          <w:color w:val="000000"/>
        </w:rPr>
        <w:t xml:space="preserve"> </w:t>
      </w:r>
      <w:r>
        <w:rPr>
          <w:rFonts w:ascii="Times New Roman" w:hAnsi="Times New Roman"/>
          <w:b/>
          <w:color w:val="000000"/>
          <w:sz w:val="24"/>
        </w:rPr>
        <w:t>Matters</w:t>
      </w:r>
      <w:r>
        <w:rPr>
          <w:color w:val="000000"/>
        </w:rPr>
        <w:t xml:space="preserve"> </w:t>
      </w:r>
      <w:r>
        <w:rPr>
          <w:rFonts w:ascii="Times New Roman" w:hAnsi="Times New Roman"/>
          <w:b/>
          <w:color w:val="000000"/>
          <w:sz w:val="24"/>
        </w:rPr>
        <w:t>Related to</w:t>
      </w:r>
      <w:r>
        <w:rPr>
          <w:color w:val="000000"/>
        </w:rPr>
        <w:t xml:space="preserve"> </w:t>
      </w:r>
      <w:r>
        <w:rPr>
          <w:rFonts w:ascii="Times New Roman" w:hAnsi="Times New Roman"/>
          <w:b/>
          <w:color w:val="000000"/>
          <w:sz w:val="24"/>
        </w:rPr>
        <w:t>Termination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Notice</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 xml:space="preserve">the Company or by Executive under Section 3 (other than termination due to Executive’s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death)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communicated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hereto</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indicating</w:t>
      </w:r>
      <w:r>
        <w:rPr>
          <w:color w:val="000000"/>
        </w:rPr>
        <w:t xml:space="preserve"> </w:t>
      </w:r>
      <w:r>
        <w:rPr>
          <w:rFonts w:ascii="Times New Roman" w:hAnsi="Times New Roman"/>
          <w:color w:val="000000"/>
          <w:sz w:val="24"/>
        </w:rPr>
        <w:t>the specific</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relied</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setting</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reasonable detail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facts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circumstances</w:t>
      </w:r>
      <w:r>
        <w:rPr>
          <w:color w:val="000000"/>
        </w:rPr>
        <w:t xml:space="preserve"> </w:t>
      </w:r>
      <w:r>
        <w:rPr>
          <w:rFonts w:ascii="Times New Roman" w:hAnsi="Times New Roman"/>
          <w:color w:val="000000"/>
          <w:sz w:val="24"/>
        </w:rPr>
        <w:t>claimed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 employment under the provision so indicated, if applicable, and (iii) specifying a Termination Date (as defined below) which, if submitted by Executive, shall be at least thirty (30) days following the date of such notice (a “</w:t>
      </w:r>
      <w:r>
        <w:rPr>
          <w:rFonts w:ascii="Times New Roman" w:hAnsi="Times New Roman"/>
          <w:color w:val="000000"/>
          <w:sz w:val="24"/>
          <w:u w:val="single"/>
        </w:rPr>
        <w:t>Notice of Termination</w:t>
      </w:r>
      <w:r>
        <w:rPr>
          <w:color w:val="000000"/>
        </w:rPr>
        <w:t>”</w:t>
      </w:r>
      <w:r>
        <w:rPr>
          <w:rFonts w:ascii="Times New Roman" w:hAnsi="Times New Roman"/>
          <w:color w:val="000000"/>
          <w:sz w:val="24"/>
        </w:rPr>
        <w:t>); provided, however,</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delivers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the Company may, in its sole discretion, change the Termination Date to any date that occurs on or following the date of the Company’s receipt of such Notice of Termination and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 and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shall still be considered a termination by the Executive. A Notice of Termination submitted by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receives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Notice of Termination, or any date thereafter elected by the Company in its sole discretion. The failure by the Company or Executive to set forth in the Notice of Termination any fact or circumstance</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contributes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showing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waive</w:t>
      </w:r>
      <w:r>
        <w:rPr>
          <w:color w:val="000000"/>
        </w:rPr>
        <w:t xml:space="preserve"> </w:t>
      </w:r>
      <w:r>
        <w:rPr>
          <w:rFonts w:ascii="Times New Roman" w:hAnsi="Times New Roman"/>
          <w:color w:val="000000"/>
          <w:sz w:val="24"/>
        </w:rPr>
        <w:t>any right of such party hereunder or preclude such party from asserting such fact or circumstance in enforcing such party’s rights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Final Compensation</w:t>
      </w:r>
      <w:r>
        <w:rPr>
          <w:rFonts w:ascii="Times New Roman" w:hAnsi="Times New Roman"/>
          <w:color w:val="000000"/>
          <w:sz w:val="24"/>
        </w:rPr>
        <w:t>. In the event of a termination of the Executive’s employment with the Company, howsoever occurring, the Company shall pay to the Executive (i) any Base Salary earned through, but unpaid as of, the date on which the Executive’s employment terminates (the “</w:t>
      </w:r>
      <w:r>
        <w:rPr>
          <w:rFonts w:ascii="Times New Roman" w:hAnsi="Times New Roman"/>
          <w:color w:val="000000"/>
          <w:sz w:val="24"/>
          <w:u w:val="single"/>
        </w:rPr>
        <w:t>Termination Date</w:t>
      </w:r>
      <w:r>
        <w:rPr>
          <w:color w:val="000000"/>
        </w:rPr>
        <w:t>”</w:t>
      </w:r>
      <w:r>
        <w:rPr>
          <w:rFonts w:ascii="Times New Roman" w:hAnsi="Times New Roman"/>
          <w:color w:val="000000"/>
          <w:sz w:val="24"/>
        </w:rPr>
        <w:t>) and (ii) reimbursement, in accordance with Section 2(f) hereof, for reasonable business expenses incurred by the Executive,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yet</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 Executive submits all such expenses and required supporting documentation within sixty (60) days after the Termination Date, and provided further that such expenses are reimbursable under Company policies then in effect (all of the foregoing, “</w:t>
      </w:r>
      <w:r>
        <w:rPr>
          <w:rFonts w:ascii="Times New Roman" w:hAnsi="Times New Roman"/>
          <w:color w:val="000000"/>
          <w:sz w:val="24"/>
          <w:u w:val="single"/>
        </w:rPr>
        <w:t>Final</w:t>
      </w:r>
      <w:r>
        <w:rPr>
          <w:color w:val="000000"/>
        </w:rPr>
        <w:t xml:space="preserve"> </w:t>
      </w:r>
      <w:r>
        <w:rPr>
          <w:rFonts w:ascii="Times New Roman" w:hAnsi="Times New Roman"/>
          <w:color w:val="000000"/>
          <w:sz w:val="24"/>
          <w:u w:val="single"/>
        </w:rPr>
        <w:t>Compensation</w:t>
      </w:r>
      <w:r>
        <w:rPr>
          <w:color w:val="000000"/>
        </w:rPr>
        <w:t>”</w:t>
      </w:r>
      <w:r>
        <w:rPr>
          <w:rFonts w:ascii="Times New Roman" w:hAnsi="Times New Roman"/>
          <w:color w:val="000000"/>
          <w:sz w:val="24"/>
        </w:rPr>
        <w:t>). Except as otherwise provided in this Section 4(b), Final Compensation will be paid to the Executive within thirty (30) days following the Termination Date or such shorter period required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Benefits</w:t>
      </w:r>
      <w:r>
        <w:rPr>
          <w:color w:val="000000"/>
          <w:u w:val="single"/>
        </w:rPr>
        <w:t xml:space="preserve"> </w:t>
      </w:r>
      <w:r>
        <w:rPr>
          <w:rFonts w:ascii="Times New Roman" w:hAnsi="Times New Roman"/>
          <w:color w:val="000000"/>
          <w:sz w:val="24"/>
          <w:u w:val="single"/>
        </w:rPr>
        <w:t>upon</w:t>
      </w:r>
      <w:r>
        <w:rPr>
          <w:color w:val="000000"/>
          <w:u w:val="single"/>
        </w:rPr>
        <w:t xml:space="preserve"> </w:t>
      </w:r>
      <w:r>
        <w:rPr>
          <w:rFonts w:ascii="Times New Roman" w:hAnsi="Times New Roman"/>
          <w:color w:val="000000"/>
          <w:sz w:val="24"/>
          <w:u w:val="single"/>
        </w:rPr>
        <w:t>Termination</w:t>
      </w:r>
      <w:r>
        <w:rPr>
          <w:color w:val="000000"/>
          <w:u w:val="single"/>
        </w:rPr>
        <w:t xml:space="preserve"> </w:t>
      </w:r>
      <w:r>
        <w:rPr>
          <w:rFonts w:ascii="Times New Roman" w:hAnsi="Times New Roman"/>
          <w:color w:val="000000"/>
          <w:sz w:val="24"/>
          <w:u w:val="single"/>
        </w:rPr>
        <w:t>by</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Company</w:t>
      </w:r>
      <w:r>
        <w:rPr>
          <w:color w:val="000000"/>
          <w:u w:val="single"/>
        </w:rPr>
        <w:t xml:space="preserve"> </w:t>
      </w:r>
      <w:r>
        <w:rPr>
          <w:rFonts w:ascii="Times New Roman" w:hAnsi="Times New Roman"/>
          <w:color w:val="000000"/>
          <w:sz w:val="24"/>
          <w:u w:val="single"/>
        </w:rPr>
        <w:t>without</w:t>
      </w:r>
      <w:r>
        <w:rPr>
          <w:color w:val="000000"/>
          <w:u w:val="single"/>
        </w:rPr>
        <w:t xml:space="preserve"> </w:t>
      </w:r>
      <w:r>
        <w:rPr>
          <w:rFonts w:ascii="Times New Roman" w:hAnsi="Times New Roman"/>
          <w:color w:val="000000"/>
          <w:sz w:val="24"/>
          <w:u w:val="single"/>
        </w:rPr>
        <w:t>Cause</w:t>
      </w:r>
      <w:r>
        <w:rPr>
          <w:color w:val="000000"/>
          <w:u w:val="single"/>
        </w:rPr>
        <w:t xml:space="preserve"> </w:t>
      </w:r>
      <w:r>
        <w:rPr>
          <w:rFonts w:ascii="Times New Roman" w:hAnsi="Times New Roman"/>
          <w:color w:val="000000"/>
          <w:sz w:val="24"/>
          <w:u w:val="single"/>
        </w:rPr>
        <w:t>or</w:t>
      </w:r>
      <w:r>
        <w:rPr>
          <w:color w:val="000000"/>
          <w:u w:val="single"/>
        </w:rPr>
        <w:t xml:space="preserve"> </w:t>
      </w:r>
      <w:r>
        <w:rPr>
          <w:rFonts w:ascii="Times New Roman" w:hAnsi="Times New Roman"/>
          <w:color w:val="000000"/>
          <w:sz w:val="24"/>
          <w:u w:val="single"/>
        </w:rPr>
        <w:t>by</w:t>
      </w:r>
      <w:r>
        <w:rPr>
          <w:color w:val="000000"/>
        </w:rPr>
        <w:t xml:space="preserve"> </w:t>
      </w:r>
      <w:r>
        <w:rPr>
          <w:rFonts w:ascii="Times New Roman" w:hAnsi="Times New Roman"/>
          <w:color w:val="000000"/>
          <w:sz w:val="24"/>
          <w:u w:val="single"/>
        </w:rPr>
        <w:t>the Executive for Good Reason</w:t>
      </w:r>
      <w:r>
        <w:rPr>
          <w:rFonts w:ascii="Times New Roman" w:hAnsi="Times New Roman"/>
          <w:color w:val="000000"/>
          <w:sz w:val="24"/>
        </w:rPr>
        <w:t>. In the event of any termination of the Executive’s employment by the Company without Cause under Section 3(b) or by the Executive for Good Reason under Section</w:t>
      </w:r>
      <w:r>
        <w:rPr>
          <w:color w:val="000000"/>
        </w:rPr>
        <w:t xml:space="preserve"> </w:t>
      </w:r>
      <w:r>
        <w:rPr>
          <w:rFonts w:ascii="Times New Roman" w:hAnsi="Times New Roman"/>
          <w:color w:val="000000"/>
          <w:sz w:val="24"/>
        </w:rPr>
        <w:t>3(c), then, except as otherwise provided in Section 4(d), the Company will provide to</w:t>
      </w:r>
      <w:r>
        <w:rPr>
          <w:color w:val="000000"/>
        </w:rPr>
        <w:t xml:space="preserve"> </w:t>
      </w:r>
      <w:r>
        <w:rPr>
          <w:rFonts w:ascii="Times New Roman" w:hAnsi="Times New Roman"/>
          <w:color w:val="000000"/>
          <w:sz w:val="24"/>
        </w:rPr>
        <w:t>the Executive, in addition to Final Compensation, the following (the “</w:t>
      </w:r>
      <w:r>
        <w:rPr>
          <w:rFonts w:ascii="Times New Roman" w:hAnsi="Times New Roman"/>
          <w:color w:val="000000"/>
          <w:sz w:val="24"/>
          <w:u w:val="single"/>
        </w:rPr>
        <w:t>Non CIC Severance Benefits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triggered Good Reason) for a period of twelve (12) months following the Termination Date (“</w:t>
      </w:r>
      <w:r>
        <w:rPr>
          <w:rFonts w:ascii="Times New Roman" w:hAnsi="Times New Roman"/>
          <w:color w:val="000000"/>
          <w:sz w:val="24"/>
          <w:u w:val="single"/>
        </w:rPr>
        <w:t>Severance Period</w:t>
      </w:r>
      <w:r>
        <w:rPr>
          <w:color w:val="000000"/>
        </w:rPr>
        <w:t>”</w:t>
      </w:r>
      <w:r>
        <w:rPr>
          <w:rFonts w:ascii="Times New Roman" w:hAnsi="Times New Roman"/>
          <w:color w:val="000000"/>
          <w:sz w:val="24"/>
        </w:rPr>
        <w:t>), payable in substantially equal installments on the Company’s regularly scheduled salary payment dates in conformity with the Company’s general payroll practices as in effect from time to time (the “</w:t>
      </w:r>
      <w:r>
        <w:rPr>
          <w:rFonts w:ascii="Times New Roman" w:hAnsi="Times New Roman"/>
          <w:color w:val="000000"/>
          <w:sz w:val="24"/>
          <w:u w:val="single"/>
        </w:rPr>
        <w:t>Non-CIC Severance Payments</w:t>
      </w:r>
      <w:r>
        <w:rPr>
          <w:color w:val="00000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has not yet been paid as of the Termination Date, payable at such time as when such Annual Bonus</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 requirement of continued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a pro-rated Annual Bonus for the fiscal year in which the Termination Date occurs, determined by multiplying (A) the Annual Bonus that would have been due to the Executive for the entire fiscal year had the Executive’s employment not</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fraction,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numerator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that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denominator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pro-rated 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ordinary</w:t>
      </w:r>
      <w:r>
        <w:rPr>
          <w:color w:val="000000"/>
        </w:rPr>
        <w:t xml:space="preserve"> </w:t>
      </w:r>
      <w:r>
        <w:rPr>
          <w:rFonts w:ascii="Times New Roman" w:hAnsi="Times New Roman"/>
          <w:color w:val="000000"/>
          <w:sz w:val="24"/>
        </w:rPr>
        <w:t>course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2(b);</w:t>
      </w:r>
      <w:r>
        <w:rPr>
          <w:color w:val="000000"/>
        </w:rPr>
        <w:t xml:space="preserve"> </w:t>
      </w:r>
      <w:r>
        <w:rPr>
          <w:rFonts w:ascii="Times New Roman" w:hAnsi="Times New Roman"/>
          <w:color w:val="000000"/>
          <w:sz w:val="24"/>
        </w:rPr>
        <w:t>provided that such payment shall occur no later than March 15 of the year following the year in which the Termination Date occurs;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timely</w:t>
      </w:r>
      <w:r>
        <w:rPr>
          <w:color w:val="000000"/>
        </w:rPr>
        <w:t xml:space="preserve"> </w:t>
      </w:r>
      <w:r>
        <w:rPr>
          <w:rFonts w:ascii="Times New Roman" w:hAnsi="Times New Roman"/>
          <w:color w:val="000000"/>
          <w:sz w:val="24"/>
        </w:rPr>
        <w:t>elects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continue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dependents,</w:t>
      </w:r>
      <w:r>
        <w:rPr>
          <w:color w:val="000000"/>
        </w:rPr>
        <w:t xml:space="preserve"> </w:t>
      </w:r>
      <w:r>
        <w:rPr>
          <w:rFonts w:ascii="Times New Roman" w:hAnsi="Times New Roman"/>
          <w:color w:val="000000"/>
          <w:sz w:val="24"/>
        </w:rPr>
        <w:t>in the Company’s group health plans under the federal law known as “COBRA” or similar state law (together, “</w:t>
      </w:r>
      <w:r>
        <w:rPr>
          <w:rFonts w:ascii="Times New Roman" w:hAnsi="Times New Roman"/>
          <w:color w:val="000000"/>
          <w:sz w:val="24"/>
          <w:u w:val="single"/>
        </w:rPr>
        <w:t>COBRA</w:t>
      </w:r>
      <w:r>
        <w:rPr>
          <w:color w:val="000000"/>
        </w:rPr>
        <w:t>”</w:t>
      </w:r>
      <w:r>
        <w:rPr>
          <w:rFonts w:ascii="Times New Roman" w:hAnsi="Times New Roman"/>
          <w:color w:val="000000"/>
          <w:sz w:val="24"/>
        </w:rPr>
        <w:t>), the Company shall pay the Company’s portion of the contributions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behalf</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 the Executive’s eligible dependents, until the earlier of (A) the date that is twelve (12) months following the Termination Date and (B) the date on which the Executive, and, if applicable, the Executive’s eligible dependents, cease to be eligible for such COBRA coverage under applicable law or plan terms (the “</w:t>
      </w:r>
      <w:r>
        <w:rPr>
          <w:rFonts w:ascii="Times New Roman" w:hAnsi="Times New Roman"/>
          <w:color w:val="000000"/>
          <w:sz w:val="24"/>
          <w:u w:val="single"/>
        </w:rPr>
        <w:t>Health Continuation Benefits</w:t>
      </w:r>
      <w:r>
        <w:rPr>
          <w:color w:val="000000"/>
        </w:rPr>
        <w:t>”</w:t>
      </w:r>
      <w:r>
        <w:rPr>
          <w:rFonts w:ascii="Times New Roman" w:hAnsi="Times New Roman"/>
          <w:color w:val="000000"/>
          <w:sz w:val="24"/>
        </w:rPr>
        <w:t>). The Company’s contribution to the costs of the Health Continuation Benefits shall be determined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contribution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Company-provided</w:t>
      </w:r>
      <w:r>
        <w:rPr>
          <w:color w:val="000000"/>
        </w:rPr>
        <w:t xml:space="preserve"> </w:t>
      </w:r>
      <w:r>
        <w:rPr>
          <w:rFonts w:ascii="Times New Roman" w:hAnsi="Times New Roman"/>
          <w:color w:val="000000"/>
          <w:sz w:val="24"/>
        </w:rPr>
        <w:t>health and dental insurance coverage for an active employee with the same coverage elections, determined as of the Termination Date and without taking into account an employee’s ability to make pre-tax deductions. The Executive shall be responsible for paying the remaining</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premiums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remained employed. The Executive authorizes the deduction of the portion for which the Executive is responsible from the after-tax amount of the Non-CIC Severance Payments or CIC Severance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this Section</w:t>
      </w:r>
      <w:r>
        <w:rPr>
          <w:color w:val="000000"/>
        </w:rPr>
        <w:t xml:space="preserve"> </w:t>
      </w:r>
      <w:r>
        <w:rPr>
          <w:rFonts w:ascii="Times New Roman" w:hAnsi="Times New Roman"/>
          <w:color w:val="000000"/>
          <w:sz w:val="24"/>
        </w:rPr>
        <w:t>4(c)(iv), if the Executive commences new employment and becomes eligible to participate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group</w:t>
      </w:r>
      <w:r>
        <w:rPr>
          <w:color w:val="000000"/>
        </w:rPr>
        <w:t xml:space="preserve"> </w:t>
      </w:r>
      <w:r>
        <w:rPr>
          <w:rFonts w:ascii="Times New Roman" w:hAnsi="Times New Roman"/>
          <w:color w:val="000000"/>
          <w:sz w:val="24"/>
        </w:rPr>
        <w:t>health</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Health Continuation Benefits shall cease (and Executive agrees to promptly notify the Company of such eligibility).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lieu of the payments and benefits set forth 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4(c), in the event of any termination of the Executive’s employment by the Company without Cause under Section 3(b) or by the Executive for Good Reason under Section</w:t>
      </w:r>
      <w:r>
        <w:rPr>
          <w:color w:val="000000"/>
        </w:rPr>
        <w:t xml:space="preserve"> </w:t>
      </w:r>
      <w:r>
        <w:rPr>
          <w:rFonts w:ascii="Times New Roman" w:hAnsi="Times New Roman"/>
          <w:color w:val="000000"/>
          <w:sz w:val="24"/>
        </w:rPr>
        <w:t>3(c),</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beginning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three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months 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twelve</w:t>
      </w:r>
    </w:p>
    <w:p>
      <w:pPr>
        <w:pStyle w:val="TextBody"/>
        <w:bidi w:val="0"/>
        <w:jc w:val="both"/>
        <w:rPr>
          <w:rFonts w:ascii="Times New Roman" w:hAnsi="Times New Roman"/>
          <w:sz w:val="20"/>
        </w:rPr>
      </w:pPr>
      <w:r>
        <w:rPr>
          <w:rFonts w:ascii="Times New Roman" w:hAnsi="Times New Roman"/>
          <w:color w:val="000000"/>
          <w:sz w:val="24"/>
        </w:rPr>
        <w:t>(12) months following the date of a Change in Control, the Company will provide to the Executive, in addition to Final Compensation, the following (together with the Non-CIC Severance Benefits, the “</w:t>
      </w:r>
      <w:r>
        <w:rPr>
          <w:rFonts w:ascii="Times New Roman" w:hAnsi="Times New Roman"/>
          <w:color w:val="000000"/>
          <w:sz w:val="24"/>
          <w:u w:val="single"/>
        </w:rPr>
        <w:t>Severance Benefits</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an</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sum</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twelve</w:t>
      </w:r>
      <w:r>
        <w:rPr>
          <w:color w:val="000000"/>
        </w:rPr>
        <w:t xml:space="preserve"> </w:t>
      </w:r>
      <w:r>
        <w:rPr>
          <w:rFonts w:ascii="Times New Roman" w:hAnsi="Times New Roman"/>
          <w:color w:val="000000"/>
          <w:sz w:val="24"/>
        </w:rPr>
        <w:t>(12)</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Base Salary (without giving effect to any reduction that triggered Good Reason), and (B) the then-current Target Bonus (the “</w:t>
      </w:r>
      <w:r>
        <w:rPr>
          <w:rFonts w:ascii="Times New Roman" w:hAnsi="Times New Roman"/>
          <w:color w:val="000000"/>
          <w:sz w:val="24"/>
          <w:u w:val="single"/>
        </w:rPr>
        <w:t>CIC Severance Payment</w:t>
      </w:r>
      <w:r>
        <w:rPr>
          <w:color w:val="000000"/>
        </w:rPr>
        <w:t>”</w:t>
      </w:r>
      <w:r>
        <w:rPr>
          <w:rFonts w:ascii="Times New Roman" w:hAnsi="Times New Roman"/>
          <w:color w:val="000000"/>
          <w:sz w:val="24"/>
        </w:rPr>
        <w:t>), payable as set forth in Section 4(e) below;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4(c)(ii);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4(c)(iv);</w:t>
      </w:r>
      <w:r>
        <w:rPr>
          <w:color w:val="000000"/>
        </w:rPr>
        <w:t xml:space="preserve"> </w:t>
      </w:r>
      <w:r>
        <w:rPr>
          <w:rFonts w:ascii="Times New Roman" w:hAnsi="Times New Roman"/>
          <w:color w:val="000000"/>
          <w:sz w:val="24"/>
        </w:rPr>
        <w:t>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all</w:t>
      </w:r>
      <w:r>
        <w:rPr>
          <w:color w:val="000000"/>
        </w:rPr>
        <w:t xml:space="preserve"> </w:t>
      </w:r>
      <w:r>
        <w:rPr>
          <w:rFonts w:ascii="Times New Roman" w:hAnsi="Times New Roman"/>
          <w:color w:val="000000"/>
          <w:sz w:val="24"/>
        </w:rPr>
        <w:t>unvested</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equity-based</w:t>
      </w:r>
      <w:r>
        <w:rPr>
          <w:color w:val="000000"/>
        </w:rPr>
        <w:t xml:space="preserve"> </w:t>
      </w:r>
      <w:r>
        <w:rPr>
          <w:rFonts w:ascii="Times New Roman" w:hAnsi="Times New Roman"/>
          <w:color w:val="000000"/>
          <w:sz w:val="24"/>
        </w:rPr>
        <w:t>awards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 the passage of time and are then held by the Executive under any Company equity compensation plans shall immediately become 100% vested (with any such awards that vest in whole or in part based on the attainment of performance-vesting conditions being governed by the terms of the applicable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Conditions</w:t>
      </w:r>
      <w:r>
        <w:rPr>
          <w:color w:val="000000"/>
          <w:u w:val="single"/>
        </w:rPr>
        <w:t xml:space="preserve"> </w:t>
      </w:r>
      <w:r>
        <w:rPr>
          <w:rFonts w:ascii="Times New Roman" w:hAnsi="Times New Roman"/>
          <w:color w:val="000000"/>
          <w:sz w:val="24"/>
          <w:u w:val="single"/>
        </w:rPr>
        <w:t>to</w:t>
      </w:r>
      <w:r>
        <w:rPr>
          <w:color w:val="000000"/>
          <w:u w:val="single"/>
        </w:rPr>
        <w:t xml:space="preserve"> </w:t>
      </w:r>
      <w:r>
        <w:rPr>
          <w:rFonts w:ascii="Times New Roman" w:hAnsi="Times New Roman"/>
          <w:color w:val="000000"/>
          <w:sz w:val="24"/>
          <w:u w:val="single"/>
        </w:rPr>
        <w:t>and</w:t>
      </w:r>
      <w:r>
        <w:rPr>
          <w:color w:val="000000"/>
          <w:u w:val="single"/>
        </w:rPr>
        <w:t xml:space="preserve"> </w:t>
      </w:r>
      <w:r>
        <w:rPr>
          <w:rFonts w:ascii="Times New Roman" w:hAnsi="Times New Roman"/>
          <w:color w:val="000000"/>
          <w:sz w:val="24"/>
          <w:u w:val="single"/>
        </w:rPr>
        <w:t>Timing</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Benefits</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obligation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Company to provide the Severance Benefits to the Executive is conditioned on the Executive’s signing and returning to the Company, without subsequently revoking, a timely and effective separation agreement, containing a general release of claims, a reaffirmation of the Executive’s obligations under the applicable Restrictive Covenant Agreement and other customary terms, in substantially the form attached hereto as</w:t>
      </w:r>
      <w:r>
        <w:rPr>
          <w:color w:val="000000"/>
        </w:rPr>
        <w:t xml:space="preserve">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(the “</w:t>
      </w:r>
      <w:r>
        <w:rPr>
          <w:rFonts w:ascii="Times New Roman" w:hAnsi="Times New Roman"/>
          <w:color w:val="000000"/>
          <w:sz w:val="24"/>
          <w:u w:val="single"/>
        </w:rPr>
        <w:t>Separation Agreement</w:t>
      </w:r>
      <w:r>
        <w:rPr>
          <w:color w:val="000000"/>
        </w:rPr>
        <w:t>”</w:t>
      </w:r>
      <w:r>
        <w:rPr>
          <w:rFonts w:ascii="Times New Roman" w:hAnsi="Times New Roman"/>
          <w:color w:val="000000"/>
          <w:sz w:val="24"/>
        </w:rPr>
        <w:t>). The Executive must return to the Company and not revoke the Separation Agreement within the time period required by the Separation Agreement, and in any event, the Separation Agreement must become effective and irrevocable, if at all, by the sixtieth (60</w:t>
      </w:r>
      <w:r>
        <w:rPr>
          <w:rFonts w:ascii="Times New Roman" w:hAnsi="Times New Roman"/>
          <w:color w:val="000000"/>
          <w:sz w:val="16"/>
        </w:rPr>
        <w:t>th</w:t>
      </w:r>
      <w:r>
        <w:rPr>
          <w:rFonts w:ascii="Times New Roman" w:hAnsi="Times New Roman"/>
          <w:color w:val="000000"/>
          <w:sz w:val="24"/>
        </w:rPr>
        <w:t>) day following the Termination Date (with the 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Separation</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becomes</w:t>
      </w:r>
      <w:r>
        <w:rPr>
          <w:color w:val="000000"/>
        </w:rPr>
        <w:t xml:space="preserve"> </w:t>
      </w:r>
      <w:r>
        <w:rPr>
          <w:rFonts w:ascii="Times New Roman" w:hAnsi="Times New Roman"/>
          <w:color w:val="000000"/>
          <w:sz w:val="24"/>
        </w:rPr>
        <w:t>effective,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Release</w:t>
      </w:r>
      <w:r>
        <w:rPr>
          <w:color w:val="000000"/>
          <w:u w:val="single"/>
        </w:rPr>
        <w:t xml:space="preserve"> </w:t>
      </w:r>
      <w:r>
        <w:rPr>
          <w:rFonts w:ascii="Times New Roman" w:hAnsi="Times New Roman"/>
          <w:color w:val="000000"/>
          <w:sz w:val="24"/>
          <w:u w:val="single"/>
        </w:rPr>
        <w:t>Effective</w:t>
      </w:r>
      <w:r>
        <w:rPr>
          <w:color w:val="000000"/>
          <w:u w:val="single"/>
        </w:rPr>
        <w:t xml:space="preserve"> </w:t>
      </w:r>
      <w:r>
        <w:rPr>
          <w:rFonts w:ascii="Times New Roman" w:hAnsi="Times New Roman"/>
          <w:color w:val="000000"/>
          <w:sz w:val="24"/>
          <w:u w:val="single"/>
        </w:rPr>
        <w:t>Date</w:t>
      </w:r>
      <w:r>
        <w:rPr>
          <w:color w:val="000000"/>
        </w:rPr>
        <w:t>”</w:t>
      </w:r>
      <w:r>
        <w:rPr>
          <w:rFonts w:ascii="Times New Roman" w:hAnsi="Times New Roman"/>
          <w:color w:val="000000"/>
          <w:sz w:val="24"/>
        </w:rPr>
        <w:t>). The first Non-CIC Severance Payment, if applicable, will be made within sixty (60) days after the Termination Date, on the first regularly scheduled payroll date of the Company that occurs following the Release Effective Date. The CIC Severance Payment, if applicable, will be paid in a single lump sum within sixty (60) days following the later of the Termination Date and the date of the Change in Control. Notwithstanding the foregoing, if the sixty (60)-day period begins in one calendar year and ends in a second calendar year, the Non-CIC Severance Payments or the CIC Severance Payments, as 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extent</w:t>
      </w:r>
      <w:r>
        <w:rPr>
          <w:color w:val="000000"/>
        </w:rPr>
        <w:t xml:space="preserve"> </w:t>
      </w:r>
      <w:r>
        <w:rPr>
          <w:rFonts w:ascii="Times New Roman" w:hAnsi="Times New Roman"/>
          <w:color w:val="000000"/>
          <w:sz w:val="24"/>
        </w:rPr>
        <w:t>they</w:t>
      </w:r>
      <w:r>
        <w:rPr>
          <w:color w:val="000000"/>
        </w:rPr>
        <w:t xml:space="preserve"> </w:t>
      </w:r>
      <w:r>
        <w:rPr>
          <w:rFonts w:ascii="Times New Roman" w:hAnsi="Times New Roman"/>
          <w:color w:val="000000"/>
          <w:sz w:val="24"/>
        </w:rPr>
        <w:t>qualify</w:t>
      </w:r>
      <w:r>
        <w:rPr>
          <w:color w:val="000000"/>
        </w:rPr>
        <w:t xml:space="preserve"> </w:t>
      </w:r>
      <w:r>
        <w:rPr>
          <w:rFonts w:ascii="Times New Roman" w:hAnsi="Times New Roman"/>
          <w:color w:val="000000"/>
          <w:sz w:val="24"/>
        </w:rPr>
        <w:t>as “non-qualified</w:t>
      </w:r>
      <w:r>
        <w:rPr>
          <w:color w:val="000000"/>
        </w:rPr>
        <w:t xml:space="preserve"> </w:t>
      </w:r>
      <w:r>
        <w:rPr>
          <w:rFonts w:ascii="Times New Roman" w:hAnsi="Times New Roman"/>
          <w:color w:val="000000"/>
          <w:sz w:val="24"/>
        </w:rPr>
        <w:t>deferred</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 meaning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second</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and provided, further, that the initial Non-CIC Severance Payment shall include a catch-up payment to cover amounts retroactive to the day following the Termination Date. If the 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three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month</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Change 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Non-CIC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 Section</w:t>
      </w:r>
      <w:r>
        <w:rPr>
          <w:color w:val="000000"/>
        </w:rPr>
        <w:t xml:space="preserve"> </w:t>
      </w:r>
      <w:r>
        <w:rPr>
          <w:rFonts w:ascii="Times New Roman" w:hAnsi="Times New Roman"/>
          <w:color w:val="000000"/>
          <w:sz w:val="24"/>
        </w:rPr>
        <w:t>4(c)(i)</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4(d)(i)</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 that exceed what Executive received as a Non-CIC Severance Payment will be paid in a lump</w:t>
      </w:r>
      <w:r>
        <w:rPr>
          <w:color w:val="000000"/>
        </w:rPr>
        <w:t xml:space="preserve"> </w:t>
      </w:r>
      <w:r>
        <w:rPr>
          <w:rFonts w:ascii="Times New Roman" w:hAnsi="Times New Roman"/>
          <w:color w:val="000000"/>
          <w:sz w:val="24"/>
        </w:rPr>
        <w:t>sum</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sixty</w:t>
      </w:r>
      <w:r>
        <w:rPr>
          <w:color w:val="000000"/>
        </w:rPr>
        <w:t xml:space="preserve"> </w:t>
      </w:r>
      <w:r>
        <w:rPr>
          <w:rFonts w:ascii="Times New Roman" w:hAnsi="Times New Roman"/>
          <w:color w:val="000000"/>
          <w:sz w:val="24"/>
        </w:rPr>
        <w:t>(60)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ten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after the date of the Change in Control. Notwithstanding the foregoing, in the event that the Company’s payment of the Health Continuation Benefits would subject the Company or the Executive to any tax or penalty under Section 105(h)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the Patient Protection and Affordable Care Act, as amended, any regulations or guidance issued thereunder, or any other applicable law, in each case, as determined by the Company, the Executive and the Company shall work together in good faith to restructure such benefit.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Benefits Termination</w:t>
      </w:r>
      <w:r>
        <w:rPr>
          <w:rFonts w:ascii="Times New Roman" w:hAnsi="Times New Roman"/>
          <w:color w:val="000000"/>
          <w:sz w:val="24"/>
        </w:rPr>
        <w:t>. Except for any right the Executive may have under COBRA or other applicable law to continue participation in the Company’s group health and</w:t>
      </w:r>
      <w:r>
        <w:rPr>
          <w:color w:val="000000"/>
        </w:rPr>
        <w:t xml:space="preserve"> </w:t>
      </w:r>
      <w:r>
        <w:rPr>
          <w:rFonts w:ascii="Times New Roman" w:hAnsi="Times New Roman"/>
          <w:color w:val="000000"/>
          <w:sz w:val="24"/>
        </w:rPr>
        <w:t>dental</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cost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 Section</w:t>
      </w:r>
      <w:r>
        <w:rPr>
          <w:color w:val="000000"/>
        </w:rPr>
        <w:t xml:space="preserve"> </w:t>
      </w:r>
      <w:r>
        <w:rPr>
          <w:rFonts w:ascii="Times New Roman" w:hAnsi="Times New Roman"/>
          <w:color w:val="000000"/>
          <w:sz w:val="24"/>
        </w:rPr>
        <w:t>4(c)(iv) or Section</w:t>
      </w:r>
      <w:r>
        <w:rPr>
          <w:color w:val="000000"/>
        </w:rPr>
        <w:t xml:space="preserve"> </w:t>
      </w:r>
      <w:r>
        <w:rPr>
          <w:rFonts w:ascii="Times New Roman" w:hAnsi="Times New Roman"/>
          <w:color w:val="000000"/>
          <w:sz w:val="24"/>
        </w:rPr>
        <w:t>4(d)(iii) of this Agreement, the Executive’s participation in all employee benefit plans shall terminate in accordance with the terms of the applicable benefit</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regard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continuation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Base Salary or other payment to the Executive following termination of the Executive’s employment,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PTO</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 the Executive’s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Survival</w:t>
      </w:r>
      <w:r>
        <w:rPr>
          <w:rFonts w:ascii="Times New Roman" w:hAnsi="Times New Roman"/>
          <w:color w:val="000000"/>
          <w:sz w:val="24"/>
        </w:rPr>
        <w:t>. Provisions of this Agreement shall survive any termination of employment if so provided in this Agreement or if necessary or desirable to accomplish the purposes of other surviving provisions, including, without limitation, the Executive’s obligations under the applicable Restrictive Covenant Agreement and the Company’s obligations under Section 4. The obligation of the Company to make payments to the Executive under Section</w:t>
      </w:r>
      <w:r>
        <w:rPr>
          <w:color w:val="000000"/>
        </w:rPr>
        <w:t xml:space="preserve"> </w:t>
      </w:r>
      <w:r>
        <w:rPr>
          <w:rFonts w:ascii="Times New Roman" w:hAnsi="Times New Roman"/>
          <w:color w:val="000000"/>
          <w:sz w:val="24"/>
        </w:rPr>
        <w:t>4 are expressly conditioned upon the Executive’s continued 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arrangement</w:t>
      </w:r>
      <w:r>
        <w:rPr>
          <w:color w:val="000000"/>
        </w:rPr>
        <w:t xml:space="preserve"> </w:t>
      </w:r>
      <w:r>
        <w:rPr>
          <w:rFonts w:ascii="Times New Roman" w:hAnsi="Times New Roman"/>
          <w:color w:val="000000"/>
          <w:sz w:val="24"/>
        </w:rPr>
        <w:t>subjecting the Executive to restrictive covenants, including, without limitation any such agreement appended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(collectively,</w:t>
      </w:r>
      <w:r>
        <w:rPr>
          <w:color w:val="000000"/>
        </w:rPr>
        <w:t xml:space="preserve"> “</w:t>
      </w:r>
      <w:r>
        <w:rPr>
          <w:rFonts w:ascii="Times New Roman" w:hAnsi="Times New Roman"/>
          <w:color w:val="000000"/>
          <w:sz w:val="24"/>
          <w:u w:val="single"/>
        </w:rPr>
        <w:t>Restrictive</w:t>
      </w:r>
      <w:r>
        <w:rPr>
          <w:color w:val="000000"/>
          <w:u w:val="single"/>
        </w:rPr>
        <w:t xml:space="preserve"> </w:t>
      </w:r>
      <w:r>
        <w:rPr>
          <w:rFonts w:ascii="Times New Roman" w:hAnsi="Times New Roman"/>
          <w:color w:val="000000"/>
          <w:sz w:val="24"/>
          <w:u w:val="single"/>
        </w:rPr>
        <w:t>Covenant</w:t>
      </w:r>
      <w:r>
        <w:rPr>
          <w:color w:val="000000"/>
          <w:u w:val="single"/>
        </w:rPr>
        <w:t xml:space="preserve"> </w:t>
      </w:r>
      <w:r>
        <w:rPr>
          <w:rFonts w:ascii="Times New Roman" w:hAnsi="Times New Roman"/>
          <w:color w:val="000000"/>
          <w:sz w:val="24"/>
          <w:u w:val="single"/>
        </w:rPr>
        <w:t>Agreement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Executive acknowledges that Executive remains bound by the Restrictive Covenant Agreement, which is incorporated by reference herein. Upon termination of employment by</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cease,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 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Restrictive</w:t>
      </w:r>
      <w:r>
        <w:rPr>
          <w:color w:val="000000"/>
        </w:rPr>
        <w:t xml:space="preserve"> </w:t>
      </w:r>
      <w:r>
        <w:rPr>
          <w:rFonts w:ascii="Times New Roman" w:hAnsi="Times New Roman"/>
          <w:color w:val="000000"/>
          <w:sz w:val="24"/>
        </w:rPr>
        <w:t>Covenant</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Documents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 applicable, the Separation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Deemed</w:t>
      </w:r>
      <w:r>
        <w:rPr>
          <w:color w:val="000000"/>
          <w:u w:val="single"/>
        </w:rPr>
        <w:t xml:space="preserve"> </w:t>
      </w:r>
      <w:r>
        <w:rPr>
          <w:rFonts w:ascii="Times New Roman" w:hAnsi="Times New Roman"/>
          <w:color w:val="000000"/>
          <w:sz w:val="24"/>
          <w:u w:val="single"/>
        </w:rPr>
        <w:t>Resignation</w:t>
      </w:r>
      <w:r>
        <w:rPr>
          <w:rFonts w:ascii="Times New Roman" w:hAnsi="Times New Roman"/>
          <w:color w:val="000000"/>
          <w:sz w:val="24"/>
        </w:rPr>
        <w:t>.</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any reason, Executive shall be deemed to have resigned from all offices and directorships, if any,</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held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subsidiaries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affiliates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agrees to execute any documentation (including, without limitation, resignation letters) reasonably requested by the Company to document any such resignation.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pPr>
      <w:r>
        <w:rPr>
          <w:rFonts w:ascii="Times New Roman" w:hAnsi="Times New Roman"/>
          <w:b/>
          <w:color w:val="000000"/>
          <w:sz w:val="24"/>
        </w:rPr>
        <w:t>Timing</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Payments</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Section</w:t>
      </w:r>
      <w:r>
        <w:rPr>
          <w:color w:val="000000"/>
        </w:rPr>
        <w:t xml:space="preserve"> </w:t>
      </w:r>
      <w:r>
        <w:rPr>
          <w:rFonts w:ascii="Times New Roman" w:hAnsi="Times New Roman"/>
          <w:b/>
          <w:color w:val="000000"/>
          <w:sz w:val="24"/>
        </w:rPr>
        <w:t>409A</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intended to</w:t>
      </w:r>
      <w:r>
        <w:rPr>
          <w:color w:val="000000"/>
        </w:rPr>
        <w:t xml:space="preserve"> </w:t>
      </w:r>
      <w:r>
        <w:rPr>
          <w:rFonts w:ascii="Times New Roman" w:hAnsi="Times New Roman"/>
          <w:color w:val="000000"/>
          <w:sz w:val="24"/>
        </w:rPr>
        <w:t>comply</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exempt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amended,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Treasury Regulations and other guidance promulgated thereunder (collectively, “</w:t>
      </w:r>
      <w:r>
        <w:rPr>
          <w:rFonts w:ascii="Times New Roman" w:hAnsi="Times New Roman"/>
          <w:color w:val="000000"/>
          <w:sz w:val="24"/>
          <w:u w:val="single"/>
        </w:rPr>
        <w:t>Section</w:t>
      </w:r>
      <w:r>
        <w:rPr>
          <w:color w:val="000000"/>
          <w:u w:val="single"/>
        </w:rPr>
        <w:t xml:space="preserve"> </w:t>
      </w:r>
      <w:r>
        <w:rPr>
          <w:rFonts w:ascii="Times New Roman" w:hAnsi="Times New Roman"/>
          <w:color w:val="000000"/>
          <w:sz w:val="24"/>
          <w:u w:val="single"/>
        </w:rPr>
        <w:t>409A</w:t>
      </w:r>
      <w:r>
        <w:rPr>
          <w:color w:val="000000"/>
        </w:rPr>
        <w:t>”</w:t>
      </w:r>
      <w:r>
        <w:rPr>
          <w:rFonts w:ascii="Times New Roman" w:hAnsi="Times New Roman"/>
          <w:color w:val="000000"/>
          <w:sz w:val="24"/>
        </w:rPr>
        <w:t>), and shall be interpreted and construed in accordance with such intent.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Notwithstanding anything to the contrary in this Agreement, if, as of the Termination Date, the Executive is a “specified employee,” as defined below, any and all amounts payable under this Agreement on account of such separation from service that would</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six</w:t>
      </w:r>
      <w:r>
        <w:rPr>
          <w:color w:val="000000"/>
        </w:rPr>
        <w:t xml:space="preserve"> </w:t>
      </w:r>
      <w:r>
        <w:rPr>
          <w:rFonts w:ascii="Times New Roman" w:hAnsi="Times New Roman"/>
          <w:color w:val="000000"/>
          <w:sz w:val="24"/>
        </w:rPr>
        <w:t>(6)</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 Date shall instead be paid on the next business day following the expiration of such six (6)-month period or, if earlier, upon the Executive’s death, except (i) to the extent of amounts that do not constitute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deferral of</w:t>
      </w:r>
      <w:r>
        <w:rPr>
          <w:color w:val="000000"/>
        </w:rPr>
        <w:t xml:space="preserve"> </w:t>
      </w:r>
      <w:r>
        <w:rPr>
          <w:rFonts w:ascii="Times New Roman" w:hAnsi="Times New Roman"/>
          <w:color w:val="000000"/>
          <w:sz w:val="24"/>
        </w:rPr>
        <w:t>compensation within the</w:t>
      </w:r>
      <w:r>
        <w:rPr>
          <w:color w:val="000000"/>
        </w:rPr>
        <w:t xml:space="preserve"> </w:t>
      </w:r>
      <w:r>
        <w:rPr>
          <w:rFonts w:ascii="Times New Roman" w:hAnsi="Times New Roman"/>
          <w:color w:val="000000"/>
          <w:sz w:val="24"/>
        </w:rPr>
        <w:t>meaning of</w:t>
      </w:r>
      <w:r>
        <w:rPr>
          <w:color w:val="000000"/>
        </w:rPr>
        <w:t xml:space="preserve"> </w:t>
      </w:r>
      <w:r>
        <w:rPr>
          <w:rFonts w:ascii="Times New Roman" w:hAnsi="Times New Roman"/>
          <w:color w:val="000000"/>
          <w:sz w:val="24"/>
        </w:rPr>
        <w:t>Treasury 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1.409A-1(b)</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limitation,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safe</w:t>
      </w:r>
      <w:r>
        <w:rPr>
          <w:color w:val="000000"/>
        </w:rPr>
        <w:t xml:space="preserve"> </w:t>
      </w:r>
      <w:r>
        <w:rPr>
          <w:rFonts w:ascii="Times New Roman" w:hAnsi="Times New Roman"/>
          <w:color w:val="000000"/>
          <w:sz w:val="24"/>
        </w:rPr>
        <w:t xml:space="preserve">harbor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set forth in Treasury Regulation Section 1.409A-1(b)(9)(iii), as determined by the Company in its reasonable good faith discretion); (ii) benefits which qualify as excepted welfare benefits pursuant to Treasury Regulation Section 1.409A-1(a)(5); or (iii) other amounts or benefits that are not subject to the requirements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For purposes of this Agreement, all references to “termination of employment” and correlative phrases shall be construed to require a “separation from service”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1.409A-1(h)</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 to the presumptions contained therein), and the term “specified employee” means an individual determined by the Company to be a specified employee under Treasury Regulation Section 1.409A-1(i).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payment made under this Agreement shall be treated as a separate payment, and the right to a series of installment payments under this Agreement is to be treated as a right to a series of separate payments.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In no event shall the Company or any Person affiliated with the Company have any liability relating to the</w:t>
      </w:r>
      <w:r>
        <w:rPr>
          <w:color w:val="000000"/>
        </w:rPr>
        <w:t xml:space="preserve"> </w:t>
      </w:r>
      <w:r>
        <w:rPr>
          <w:rFonts w:ascii="Times New Roman" w:hAnsi="Times New Roman"/>
          <w:color w:val="000000"/>
          <w:sz w:val="24"/>
        </w:rPr>
        <w:t>failure or alleged failure of any payment or</w:t>
      </w:r>
      <w:r>
        <w:rPr>
          <w:color w:val="000000"/>
        </w:rPr>
        <w:t xml:space="preserve"> </w:t>
      </w:r>
      <w:r>
        <w:rPr>
          <w:rFonts w:ascii="Times New Roman" w:hAnsi="Times New Roman"/>
          <w:color w:val="000000"/>
          <w:sz w:val="24"/>
        </w:rPr>
        <w:t>benefit under this Agreement to comply with, or be exempt from, the requirements of Section 409A.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pPr>
      <w:r>
        <w:rPr>
          <w:rFonts w:ascii="Times New Roman" w:hAnsi="Times New Roman"/>
          <w:b/>
          <w:color w:val="000000"/>
          <w:sz w:val="24"/>
        </w:rPr>
        <w:t>Definitions</w:t>
      </w:r>
      <w:r>
        <w:rPr>
          <w:rFonts w:ascii="Times New Roman" w:hAnsi="Times New Roman"/>
          <w:color w:val="000000"/>
          <w:sz w:val="24"/>
        </w:rPr>
        <w: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definitions</w:t>
      </w:r>
      <w:r>
        <w:rPr>
          <w:color w:val="000000"/>
        </w:rPr>
        <w:t xml:space="preserve"> </w:t>
      </w:r>
      <w:r>
        <w:rPr>
          <w:rFonts w:ascii="Times New Roman" w:hAnsi="Times New Roman"/>
          <w:color w:val="000000"/>
          <w:sz w:val="24"/>
        </w:rPr>
        <w:t>apply:</w:t>
      </w:r>
    </w:p>
    <w:p>
      <w:pPr>
        <w:pStyle w:val="TextBody"/>
        <w:bidi w:val="0"/>
        <w:spacing w:before="240" w:after="283"/>
        <w:jc w:val="both"/>
        <w:rPr/>
      </w:pPr>
      <w:r>
        <w:rPr>
          <w:color w:val="000000"/>
        </w:rPr>
        <w:t>“</w:t>
      </w:r>
      <w:r>
        <w:rPr>
          <w:rFonts w:ascii="Times New Roman" w:hAnsi="Times New Roman"/>
          <w:color w:val="000000"/>
          <w:sz w:val="24"/>
          <w:u w:val="single"/>
        </w:rPr>
        <w:t>Affiliates</w:t>
      </w:r>
      <w:r>
        <w:rPr>
          <w:rFonts w:ascii="Times New Roman" w:hAnsi="Times New Roman"/>
          <w:color w:val="000000"/>
          <w:sz w:val="20"/>
        </w:rPr>
        <w:t xml:space="preserve">” </w:t>
      </w:r>
      <w:r>
        <w:rPr>
          <w:rFonts w:ascii="Times New Roman" w:hAnsi="Times New Roman"/>
          <w:color w:val="000000"/>
          <w:sz w:val="24"/>
        </w:rPr>
        <w:t>means all Persons directly or indirectly controlling, controlled by or under</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management</w:t>
      </w:r>
      <w:r>
        <w:rPr>
          <w:rFonts w:ascii="Times New Roman" w:hAnsi="Times New Roman"/>
          <w:color w:val="000000"/>
          <w:sz w:val="20"/>
        </w:rPr>
        <w:t xml:space="preserve"> </w:t>
      </w:r>
      <w:r>
        <w:rPr>
          <w:rFonts w:ascii="Times New Roman" w:hAnsi="Times New Roman"/>
          <w:color w:val="000000"/>
          <w:sz w:val="24"/>
        </w:rPr>
        <w:t>authority, equity interest or otherwise.</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has the meaning set forth in the Company’s 2026 Incentive Award Plan, as in effect on the Effective Date; provided that, if a Change in Control constitutes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 409A, to the extent required to avoid the imposition of additional taxes under Section 409A, the transaction or event described in the Change in Control definition shall only constitute a Change in Control for purposes of the payment timing of such payment or benefit if such transaction also constitutes a “change in control event,” as defined in Treasury Regulation Section 1.409A-3(i)(5).</w:t>
      </w:r>
    </w:p>
    <w:p>
      <w:pPr>
        <w:pStyle w:val="TextBody"/>
        <w:bidi w:val="0"/>
        <w:spacing w:before="240" w:after="283"/>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corporation, a limited liability company, an association, a partnership, an estate, a trust or any other entity or organization.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pPr>
      <w:r>
        <w:rPr>
          <w:rFonts w:ascii="Times New Roman" w:hAnsi="Times New Roman"/>
          <w:b/>
          <w:color w:val="000000"/>
          <w:sz w:val="24"/>
        </w:rPr>
        <w:t>Conflicting Agreements</w:t>
      </w:r>
      <w:r>
        <w:rPr>
          <w:rFonts w:ascii="Times New Roman" w:hAnsi="Times New Roman"/>
          <w:color w:val="000000"/>
          <w:sz w:val="24"/>
        </w:rPr>
        <w:t>. The Executive hereby represents and warrants that the Executive’s</w:t>
      </w:r>
      <w:r>
        <w:rPr>
          <w:color w:val="000000"/>
        </w:rPr>
        <w:t xml:space="preserve"> </w:t>
      </w:r>
      <w:r>
        <w:rPr>
          <w:rFonts w:ascii="Times New Roman" w:hAnsi="Times New Roman"/>
          <w:color w:val="000000"/>
          <w:sz w:val="24"/>
        </w:rPr>
        <w:t>signing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obligations under</w:t>
      </w:r>
      <w:r>
        <w:rPr>
          <w:color w:val="000000"/>
        </w:rPr>
        <w:t xml:space="preserve"> </w:t>
      </w:r>
      <w:r>
        <w:rPr>
          <w:rFonts w:ascii="Times New Roman" w:hAnsi="Times New Roman"/>
          <w:color w:val="000000"/>
          <w:sz w:val="24"/>
        </w:rPr>
        <w:t>this Agreement will not breach or be in conflict with any other</w:t>
      </w:r>
      <w:r>
        <w:rPr>
          <w:color w:val="000000"/>
        </w:rPr>
        <w:t xml:space="preserve"> </w:t>
      </w:r>
      <w:r>
        <w:rPr>
          <w:rFonts w:ascii="Times New Roman" w:hAnsi="Times New Roman"/>
          <w:color w:val="000000"/>
          <w:sz w:val="24"/>
        </w:rPr>
        <w:t>lawful</w:t>
      </w:r>
      <w:r>
        <w:rPr>
          <w:color w:val="000000"/>
        </w:rPr>
        <w:t xml:space="preserve"> </w:t>
      </w:r>
      <w:r>
        <w:rPr>
          <w:rFonts w:ascii="Times New Roman" w:hAnsi="Times New Roman"/>
          <w:color w:val="000000"/>
          <w:sz w:val="24"/>
        </w:rPr>
        <w:t>agreement to 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now</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lawful</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against</w:t>
      </w:r>
      <w:r>
        <w:rPr>
          <w:color w:val="000000"/>
        </w:rPr>
        <w:t xml:space="preserve"> </w:t>
      </w:r>
      <w:r>
        <w:rPr>
          <w:rFonts w:ascii="Times New Roman" w:hAnsi="Times New Roman"/>
          <w:color w:val="000000"/>
          <w:sz w:val="24"/>
        </w:rPr>
        <w:t>competition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similar</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 xml:space="preserve">any court order that could affect the performance of the Executive’s obligations under this Agreement. The Executive agrees that the Executive will not disclose to or use on behalf of the Company any confidential or proprietary information of a third party without that party’s consent and will recuse Executive from any situation which may compromise Executive’s obligation to strictly safeguard confidential information of third parties and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prevent</w:t>
      </w:r>
      <w:r>
        <w:rPr>
          <w:color w:val="000000"/>
        </w:rPr>
        <w:t xml:space="preserve"> </w:t>
      </w:r>
      <w:r>
        <w:rPr>
          <w:rFonts w:ascii="Times New Roman" w:hAnsi="Times New Roman"/>
          <w:color w:val="000000"/>
          <w:sz w:val="24"/>
        </w:rPr>
        <w:t>unauthorized</w:t>
      </w:r>
      <w:r>
        <w:rPr>
          <w:color w:val="000000"/>
        </w:rPr>
        <w:t xml:space="preserve"> </w:t>
      </w:r>
      <w:r>
        <w:rPr>
          <w:rFonts w:ascii="Times New Roman" w:hAnsi="Times New Roman"/>
          <w:color w:val="000000"/>
          <w:sz w:val="24"/>
        </w:rPr>
        <w:t>disclosure.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 Executive will use in the performance of the Executive’s duties, in addition to the Company’s confidential information, proprietary information and trade secrets, only information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generally</w:t>
      </w:r>
      <w:r>
        <w:rPr>
          <w:color w:val="000000"/>
        </w:rPr>
        <w:t xml:space="preserve"> </w:t>
      </w:r>
      <w:r>
        <w:rPr>
          <w:rFonts w:ascii="Times New Roman" w:hAnsi="Times New Roman"/>
          <w:color w:val="000000"/>
          <w:sz w:val="24"/>
        </w:rPr>
        <w:t>known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used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persons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training</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experience comparable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own,</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knowledge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industry,</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legally in the</w:t>
      </w:r>
      <w:r>
        <w:rPr>
          <w:color w:val="000000"/>
        </w:rPr>
        <w:t xml:space="preserve"> </w:t>
      </w:r>
      <w:r>
        <w:rPr>
          <w:rFonts w:ascii="Times New Roman" w:hAnsi="Times New Roman"/>
          <w:color w:val="000000"/>
          <w:sz w:val="24"/>
        </w:rPr>
        <w:t>public</w:t>
      </w:r>
      <w:r>
        <w:rPr>
          <w:color w:val="000000"/>
        </w:rPr>
        <w:t xml:space="preserve"> </w:t>
      </w:r>
      <w:r>
        <w:rPr>
          <w:rFonts w:ascii="Times New Roman" w:hAnsi="Times New Roman"/>
          <w:color w:val="000000"/>
          <w:sz w:val="24"/>
        </w:rPr>
        <w:t>domain or</w:t>
      </w:r>
      <w:r>
        <w:rPr>
          <w:color w:val="000000"/>
        </w:rPr>
        <w:t xml:space="preserve"> </w:t>
      </w:r>
      <w:r>
        <w:rPr>
          <w:rFonts w:ascii="Times New Roman" w:hAnsi="Times New Roman"/>
          <w:color w:val="000000"/>
          <w:sz w:val="24"/>
        </w:rPr>
        <w:t>obtained or</w:t>
      </w:r>
      <w:r>
        <w:rPr>
          <w:color w:val="000000"/>
        </w:rPr>
        <w:t xml:space="preserve"> </w:t>
      </w:r>
      <w:r>
        <w:rPr>
          <w:rFonts w:ascii="Times New Roman" w:hAnsi="Times New Roman"/>
          <w:color w:val="000000"/>
          <w:sz w:val="24"/>
        </w:rPr>
        <w:t>developed</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in the course of the Executive’s work for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pPr>
      <w:r>
        <w:rPr>
          <w:rFonts w:ascii="Times New Roman" w:hAnsi="Times New Roman"/>
          <w:b/>
          <w:color w:val="000000"/>
          <w:sz w:val="24"/>
        </w:rPr>
        <w:t>Withholding</w:t>
      </w:r>
      <w:r>
        <w:rPr>
          <w:rFonts w:ascii="Times New Roman" w:hAnsi="Times New Roman"/>
          <w:color w:val="000000"/>
          <w:sz w:val="24"/>
        </w:rPr>
        <w:t>. All payments made by the Company or any Affiliate under this Agreement or otherwise shall be reduced by any tax or other amounts required to be withheld by the Company or any Affiliate to the extent required by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pPr>
      <w:r>
        <w:rPr>
          <w:rFonts w:ascii="Times New Roman" w:hAnsi="Times New Roman"/>
          <w:b/>
          <w:color w:val="000000"/>
          <w:sz w:val="24"/>
        </w:rPr>
        <w:t>Assignment; Successors and Assigns</w:t>
      </w:r>
      <w:r>
        <w:rPr>
          <w:rFonts w:ascii="Times New Roman" w:hAnsi="Times New Roman"/>
          <w:color w:val="000000"/>
          <w:sz w:val="24"/>
        </w:rPr>
        <w:t>. Neither the Executive nor the Company may make any assignment of this Agreement or any interest in it, by operation of law or otherwise,</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may assign its rights and obligations under this Agreement and any Restrictive Covenant Agreement without the Executive’s consent to one of its Affiliates or to any Person with which the Company shall hereafter effect a reorganization, consolidate or merge, or to 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hereafter</w:t>
      </w:r>
      <w:r>
        <w:rPr>
          <w:color w:val="000000"/>
        </w:rPr>
        <w:t xml:space="preserve"> </w:t>
      </w:r>
      <w:r>
        <w:rPr>
          <w:rFonts w:ascii="Times New Roman" w:hAnsi="Times New Roman"/>
          <w:color w:val="000000"/>
          <w:sz w:val="24"/>
        </w:rPr>
        <w:t>transfer</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properties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assets. This Agreement shall inure to the benefit of and be binding upon the Executive and the Company, and each of their respective successors, executors, administrators, heirs and permitted</w:t>
      </w:r>
      <w:r>
        <w:rPr>
          <w:color w:val="000000"/>
        </w:rPr>
        <w:t xml:space="preserve"> </w:t>
      </w:r>
      <w:r>
        <w:rPr>
          <w:rFonts w:ascii="Times New Roman" w:hAnsi="Times New Roman"/>
          <w:color w:val="000000"/>
          <w:sz w:val="24"/>
        </w:rPr>
        <w:t>assigns,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dies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before all</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have 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remaining</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beneficiary designated by the Executive or, if no such beneficiary has been designated, to the Executive’s estate.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pPr>
      <w:r>
        <w:rPr>
          <w:rFonts w:ascii="Times New Roman" w:hAnsi="Times New Roman"/>
          <w:b/>
          <w:color w:val="000000"/>
          <w:sz w:val="24"/>
        </w:rPr>
        <w:t>Severability</w:t>
      </w:r>
      <w:r>
        <w:rPr>
          <w:rFonts w:ascii="Times New Roman" w:hAnsi="Times New Roman"/>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pPr>
      <w:r>
        <w:rPr>
          <w:rFonts w:ascii="Times New Roman" w:hAnsi="Times New Roman"/>
          <w:b/>
          <w:color w:val="000000"/>
          <w:sz w:val="24"/>
        </w:rPr>
        <w:t>Arbitration</w:t>
      </w:r>
      <w:r>
        <w:rPr>
          <w:rFonts w:ascii="Times New Roman" w:hAnsi="Times New Roman"/>
          <w:color w:val="000000"/>
          <w:sz w:val="24"/>
        </w:rPr>
        <w:t>. Any dispute or controversy arising under or in connection with this Agreement or the Executive’s employment with the Company (including any claims of breach of contract, wrongful termination or age, sex, race or other discrimination), other than claims for which arbitration is unavailable as a matter of law, shall be settled exclusively by arbitration administered by the American Arbitration Administration, conducted before a single arbitrator in Boston, Massachusetts in accordance with the Employment Arbitration Rules and Mediation Procedures of the American Arbitration Association</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AAA</w:t>
      </w:r>
      <w:r>
        <w:rPr>
          <w:color w:val="000000"/>
          <w:u w:val="single"/>
        </w:rPr>
        <w:t xml:space="preserve"> </w:t>
      </w:r>
      <w:r>
        <w:rPr>
          <w:rFonts w:ascii="Times New Roman" w:hAnsi="Times New Roman"/>
          <w:color w:val="000000"/>
          <w:sz w:val="24"/>
          <w:u w:val="single"/>
        </w:rPr>
        <w:t>Rules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Arbitration</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modified by the terms and conditions set forth in this Section 11. Discovery in any such arbitration proceeding</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conducted</w:t>
      </w:r>
      <w:r>
        <w:rPr>
          <w:color w:val="000000"/>
        </w:rPr>
        <w:t xml:space="preserve"> </w:t>
      </w:r>
      <w:r>
        <w:rPr>
          <w:rFonts w:ascii="Times New Roman" w:hAnsi="Times New Roman"/>
          <w:color w:val="000000"/>
          <w:sz w:val="24"/>
        </w:rPr>
        <w:t>according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AAA</w:t>
      </w:r>
      <w:r>
        <w:rPr>
          <w:color w:val="000000"/>
        </w:rPr>
        <w:t xml:space="preserve"> </w:t>
      </w:r>
      <w:r>
        <w:rPr>
          <w:rFonts w:ascii="Times New Roman" w:hAnsi="Times New Roman"/>
          <w:color w:val="000000"/>
          <w:sz w:val="24"/>
        </w:rPr>
        <w:t>Rules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fullest</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 xml:space="preserve">authorized by the Commonwealth of Massachusetts. The arbitrator shall be selected by mutual agreement of the parties hereto, or, if the parties cannot agree, the arbitrator shall be selected by striking from a list of arbitrators supplied by the American Arbitration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Association. The written decision of the arbitrator will be final and binding on the parties hereto.</w:t>
      </w:r>
      <w:r>
        <w:rPr>
          <w:color w:val="000000"/>
        </w:rPr>
        <w:t xml:space="preserve"> </w:t>
      </w:r>
      <w:r>
        <w:rPr>
          <w:rFonts w:ascii="Times New Roman" w:hAnsi="Times New Roman"/>
          <w:color w:val="000000"/>
          <w:sz w:val="24"/>
        </w:rPr>
        <w:t>Judgment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entered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arbitrator’s</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court</w:t>
      </w:r>
      <w:r>
        <w:rPr>
          <w:color w:val="000000"/>
        </w:rPr>
        <w:t xml:space="preserve"> </w:t>
      </w:r>
      <w:r>
        <w:rPr>
          <w:rFonts w:ascii="Times New Roman" w:hAnsi="Times New Roman"/>
          <w:color w:val="000000"/>
          <w:sz w:val="24"/>
        </w:rPr>
        <w:t>having</w:t>
      </w:r>
      <w:r>
        <w:rPr>
          <w:color w:val="000000"/>
        </w:rPr>
        <w:t xml:space="preserve"> </w:t>
      </w:r>
      <w:r>
        <w:rPr>
          <w:rFonts w:ascii="Times New Roman" w:hAnsi="Times New Roman"/>
          <w:color w:val="000000"/>
          <w:sz w:val="24"/>
        </w:rPr>
        <w:t>jurisdiction. 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arbitration,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arbitrator’s</w:t>
      </w:r>
      <w:r>
        <w:rPr>
          <w:color w:val="000000"/>
        </w:rPr>
        <w:t xml:space="preserve"> </w:t>
      </w:r>
      <w:r>
        <w:rPr>
          <w:rFonts w:ascii="Times New Roman" w:hAnsi="Times New Roman"/>
          <w:color w:val="000000"/>
          <w:sz w:val="24"/>
        </w:rPr>
        <w:t>costs,</w:t>
      </w:r>
      <w:r>
        <w:rPr>
          <w:color w:val="000000"/>
        </w:rPr>
        <w:t xml:space="preserve"> </w:t>
      </w:r>
      <w:r>
        <w:rPr>
          <w:rFonts w:ascii="Times New Roman" w:hAnsi="Times New Roman"/>
          <w:color w:val="000000"/>
          <w:sz w:val="24"/>
        </w:rPr>
        <w:t>and each</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party’s</w:t>
      </w:r>
      <w:r>
        <w:rPr>
          <w:color w:val="000000"/>
        </w:rPr>
        <w:t xml:space="preserve"> </w:t>
      </w:r>
      <w:r>
        <w:rPr>
          <w:rFonts w:ascii="Times New Roman" w:hAnsi="Times New Roman"/>
          <w:color w:val="000000"/>
          <w:sz w:val="24"/>
        </w:rPr>
        <w:t>own</w:t>
      </w:r>
      <w:r>
        <w:rPr>
          <w:color w:val="000000"/>
        </w:rPr>
        <w:t xml:space="preserve"> </w:t>
      </w:r>
      <w:r>
        <w:rPr>
          <w:rFonts w:ascii="Times New Roman" w:hAnsi="Times New Roman"/>
          <w:color w:val="000000"/>
          <w:sz w:val="24"/>
        </w:rPr>
        <w:t>deposition,</w:t>
      </w:r>
      <w:r>
        <w:rPr>
          <w:color w:val="000000"/>
        </w:rPr>
        <w:t xml:space="preserve"> </w:t>
      </w:r>
      <w:r>
        <w:rPr>
          <w:rFonts w:ascii="Times New Roman" w:hAnsi="Times New Roman"/>
          <w:color w:val="000000"/>
          <w:sz w:val="24"/>
        </w:rPr>
        <w:t>witness,</w:t>
      </w:r>
      <w:r>
        <w:rPr>
          <w:color w:val="000000"/>
        </w:rPr>
        <w:t xml:space="preserve"> </w:t>
      </w:r>
      <w:r>
        <w:rPr>
          <w:rFonts w:ascii="Times New Roman" w:hAnsi="Times New Roman"/>
          <w:color w:val="000000"/>
          <w:sz w:val="24"/>
        </w:rPr>
        <w:t>expert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attorneys’</w:t>
      </w:r>
      <w:r>
        <w:rPr>
          <w:color w:val="000000"/>
        </w:rPr>
        <w:t xml:space="preserve"> </w:t>
      </w:r>
      <w:r>
        <w:rPr>
          <w:rFonts w:ascii="Times New Roman" w:hAnsi="Times New Roman"/>
          <w:color w:val="000000"/>
          <w:sz w:val="24"/>
        </w:rPr>
        <w:t>fees</w:t>
      </w:r>
      <w:r>
        <w:rPr>
          <w:color w:val="000000"/>
        </w:rPr>
        <w:t xml:space="preserve"> </w:t>
      </w:r>
      <w:r>
        <w:rPr>
          <w:rFonts w:ascii="Times New Roman" w:hAnsi="Times New Roman"/>
          <w:color w:val="000000"/>
          <w:sz w:val="24"/>
        </w:rPr>
        <w:t>and other</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matter</w:t>
      </w:r>
      <w:r>
        <w:rPr>
          <w:color w:val="000000"/>
        </w:rPr>
        <w:t xml:space="preserve"> </w:t>
      </w:r>
      <w:r>
        <w:rPr>
          <w:rFonts w:ascii="Times New Roman" w:hAnsi="Times New Roman"/>
          <w:color w:val="000000"/>
          <w:sz w:val="24"/>
        </w:rPr>
        <w:t>were</w:t>
      </w:r>
      <w:r>
        <w:rPr>
          <w:color w:val="000000"/>
        </w:rPr>
        <w:t xml:space="preserve"> </w:t>
      </w:r>
      <w:r>
        <w:rPr>
          <w:rFonts w:ascii="Times New Roman" w:hAnsi="Times New Roman"/>
          <w:color w:val="000000"/>
          <w:sz w:val="24"/>
        </w:rPr>
        <w:t>being</w:t>
      </w:r>
      <w:r>
        <w:rPr>
          <w:color w:val="000000"/>
        </w:rPr>
        <w:t xml:space="preserve"> </w:t>
      </w:r>
      <w:r>
        <w:rPr>
          <w:rFonts w:ascii="Times New Roman" w:hAnsi="Times New Roman"/>
          <w:color w:val="000000"/>
          <w:sz w:val="24"/>
        </w:rPr>
        <w:t>heard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court;</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 the arbitrator may award reasonable attorneys’ fees and costs to the prevailing party.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pPr>
      <w:r>
        <w:rPr>
          <w:rFonts w:ascii="Times New Roman" w:hAnsi="Times New Roman"/>
          <w:b/>
          <w:color w:val="000000"/>
          <w:sz w:val="24"/>
        </w:rPr>
        <w:t>Miscellaneous</w:t>
      </w:r>
      <w:r>
        <w:rPr>
          <w:rFonts w:ascii="Times New Roman" w:hAnsi="Times New Roman"/>
          <w:color w:val="000000"/>
          <w:sz w:val="24"/>
        </w:rPr>
        <w:t>. This Agreement, together with the any Restrictive Covenant Agreement and the Equity Documents, sets forth the entire agreement between the Executive and the Company, and replaces all prior communications, agreements and understandings,</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oral,</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conditions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employment, including the Prior Agreement. For the avoidance of doubt, the Restrictive Covenant Agreement is incorporated by reference into this Agreement as set forth above and nothing herein supersedes or replaces such Restrictive Covenant Agreement. This Agreement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modified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amended,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waived, unless agreed to in writing by the Executive and the CEO. The headings and captions in this Agreement are for convenience only and in no way define or describe the scope or content of any provision of this Agreement. This Agreement may be executed in two (2) or more counterparts, each of which shall be an original, and all of which together shall constitute one (1) and the same instrument. This is a Massachusetts contract and shall be governed and construed in accordance with the laws of the Commonwealth of Massachusetts, without regard to any conflict of laws principles that would result in the application of the laws of any other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pPr>
      <w:r>
        <w:rPr>
          <w:rFonts w:ascii="Times New Roman" w:hAnsi="Times New Roman"/>
          <w:b/>
          <w:color w:val="000000"/>
          <w:sz w:val="24"/>
        </w:rPr>
        <w:t>Notices</w:t>
      </w:r>
      <w:r>
        <w:rPr>
          <w:rFonts w:ascii="Times New Roman" w:hAnsi="Times New Roman"/>
          <w:color w:val="000000"/>
          <w:sz w:val="24"/>
        </w:rPr>
        <w:t>. Any notices provided for in this Agreement shall be in writing and shall be effective when delivered in person or deposited in the United States mail, postage prepaid,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addressed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last</w:t>
      </w:r>
      <w:r>
        <w:rPr>
          <w:color w:val="000000"/>
        </w:rPr>
        <w:t xml:space="preserve"> </w:t>
      </w:r>
      <w:r>
        <w:rPr>
          <w:rFonts w:ascii="Times New Roman" w:hAnsi="Times New Roman"/>
          <w:color w:val="000000"/>
          <w:sz w:val="24"/>
        </w:rPr>
        <w:t>known</w:t>
      </w:r>
      <w:r>
        <w:rPr>
          <w:color w:val="000000"/>
        </w:rPr>
        <w:t xml:space="preserve"> </w:t>
      </w:r>
      <w:r>
        <w:rPr>
          <w:rFonts w:ascii="Times New Roman" w:hAnsi="Times New Roman"/>
          <w:color w:val="000000"/>
          <w:sz w:val="24"/>
        </w:rPr>
        <w:t>address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books of the Company or, in the case of the Company, to it at its principal place of business, attention of the Chairperson of the Board, or to such other address as either party may specify by notice to the other actually received.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rFonts w:ascii="Times New Roman" w:hAnsi="Times New Roman"/>
          <w:b/>
          <w:color w:val="000000"/>
          <w:sz w:val="24"/>
        </w:rPr>
        <w:t>Section</w:t>
      </w:r>
      <w:r>
        <w:rPr>
          <w:color w:val="000000"/>
        </w:rPr>
        <w:t xml:space="preserve"> </w:t>
      </w:r>
      <w:r>
        <w:rPr>
          <w:rFonts w:ascii="Times New Roman" w:hAnsi="Times New Roman"/>
          <w:b/>
          <w:color w:val="000000"/>
          <w:sz w:val="24"/>
        </w:rPr>
        <w:t>280G</w:t>
      </w:r>
      <w:r>
        <w:rPr>
          <w:rFonts w:ascii="Times New Roman" w:hAnsi="Times New Roman"/>
          <w:color w:val="000000"/>
          <w:sz w:val="24"/>
        </w:rPr>
        <w:t>.</w:t>
      </w:r>
      <w:r>
        <w:rPr>
          <w:color w:val="000000"/>
        </w:rPr>
        <w:t xml:space="preserve"> </w:t>
      </w:r>
      <w:r>
        <w:rPr>
          <w:rFonts w:ascii="Times New Roman" w:hAnsi="Times New Roman"/>
          <w:color w:val="000000"/>
          <w:sz w:val="24"/>
        </w:rPr>
        <w:t>Anything 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contrary notwithstanding,</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 event that the amount of any compensation, payment or distribution provided to the Executive, whether paid or</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or distributed or</w:t>
      </w:r>
      <w:r>
        <w:rPr>
          <w:color w:val="000000"/>
        </w:rPr>
        <w:t xml:space="preserve"> </w:t>
      </w:r>
      <w:r>
        <w:rPr>
          <w:rFonts w:ascii="Times New Roman" w:hAnsi="Times New Roman"/>
          <w:color w:val="000000"/>
          <w:sz w:val="24"/>
        </w:rPr>
        <w:t>distributable</w:t>
      </w:r>
      <w:r>
        <w:rPr>
          <w:color w:val="000000"/>
        </w:rPr>
        <w:t xml:space="preserve"> </w:t>
      </w:r>
      <w:r>
        <w:rPr>
          <w:rFonts w:ascii="Times New Roman" w:hAnsi="Times New Roman"/>
          <w:color w:val="000000"/>
          <w:sz w:val="24"/>
        </w:rPr>
        <w:t>pursuant to the</w:t>
      </w:r>
      <w:r>
        <w:rPr>
          <w:color w:val="000000"/>
        </w:rPr>
        <w:t xml:space="preserve"> </w:t>
      </w:r>
      <w:r>
        <w:rPr>
          <w:rFonts w:ascii="Times New Roman" w:hAnsi="Times New Roman"/>
          <w:color w:val="000000"/>
          <w:sz w:val="24"/>
        </w:rPr>
        <w:t>terms of this Agreement or otherwise, calculated in a manner consistent with Section 280G of the Code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regulations thereunder</w:t>
      </w:r>
      <w:r>
        <w:rPr>
          <w:color w:val="000000"/>
        </w:rPr>
        <w:t xml:space="preserve"> </w:t>
      </w:r>
      <w:r>
        <w:rPr>
          <w:rFonts w:ascii="Times New Roman" w:hAnsi="Times New Roman"/>
          <w:color w:val="000000"/>
          <w:sz w:val="24"/>
        </w:rPr>
        <w:t>(collectively, the “</w:t>
      </w:r>
      <w:r>
        <w:rPr>
          <w:rFonts w:ascii="Times New Roman" w:hAnsi="Times New Roman"/>
          <w:color w:val="000000"/>
          <w:sz w:val="24"/>
          <w:u w:val="single"/>
        </w:rPr>
        <w:t>Aggregate</w:t>
      </w:r>
      <w:r>
        <w:rPr>
          <w:color w:val="000000"/>
          <w:u w:val="single"/>
        </w:rPr>
        <w:t xml:space="preserve"> </w:t>
      </w:r>
      <w:r>
        <w:rPr>
          <w:rFonts w:ascii="Times New Roman" w:hAnsi="Times New Roman"/>
          <w:color w:val="000000"/>
          <w:sz w:val="24"/>
          <w:u w:val="single"/>
        </w:rPr>
        <w:t>Payments</w:t>
      </w:r>
      <w:r>
        <w:rPr>
          <w:color w:val="000000"/>
        </w:rPr>
        <w:t>”</w:t>
      </w:r>
      <w:r>
        <w:rPr>
          <w:rFonts w:ascii="Times New Roman" w:hAnsi="Times New Roman"/>
          <w:color w:val="000000"/>
          <w:sz w:val="24"/>
        </w:rPr>
        <w:t>), would be</w:t>
      </w:r>
      <w:r>
        <w:rPr>
          <w:color w:val="000000"/>
        </w:rPr>
        <w:t xml:space="preserve"> </w:t>
      </w:r>
      <w:r>
        <w:rPr>
          <w:rFonts w:ascii="Times New Roman" w:hAnsi="Times New Roman"/>
          <w:color w:val="000000"/>
          <w:sz w:val="24"/>
        </w:rPr>
        <w:t>subject to the excise</w:t>
      </w:r>
      <w:r>
        <w:rPr>
          <w:color w:val="000000"/>
        </w:rPr>
        <w:t xml:space="preserve"> </w:t>
      </w:r>
      <w:r>
        <w:rPr>
          <w:rFonts w:ascii="Times New Roman" w:hAnsi="Times New Roman"/>
          <w:color w:val="000000"/>
          <w:sz w:val="24"/>
        </w:rPr>
        <w:t>tax imposed by Section 4999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or nondeductible by the payor due to Section 280G of the Code (as applicable, the “</w:t>
      </w:r>
      <w:r>
        <w:rPr>
          <w:rFonts w:ascii="Times New Roman" w:hAnsi="Times New Roman"/>
          <w:color w:val="000000"/>
          <w:sz w:val="24"/>
          <w:u w:val="single"/>
        </w:rPr>
        <w:t>Adverse 280G</w:t>
      </w:r>
      <w:r>
        <w:rPr>
          <w:color w:val="000000"/>
        </w:rPr>
        <w:t xml:space="preserve"> </w:t>
      </w:r>
      <w:r>
        <w:rPr>
          <w:rFonts w:ascii="Times New Roman" w:hAnsi="Times New Roman"/>
          <w:color w:val="000000"/>
          <w:sz w:val="24"/>
          <w:u w:val="single"/>
        </w:rPr>
        <w:t>Consequences</w:t>
      </w:r>
      <w:r>
        <w:rPr>
          <w:color w:val="000000"/>
        </w:rPr>
        <w:t>”</w:t>
      </w:r>
      <w:r>
        <w:rPr>
          <w:rFonts w:ascii="Times New Roman" w:hAnsi="Times New Roman"/>
          <w:color w:val="000000"/>
          <w:sz w:val="24"/>
        </w:rPr>
        <w:t>), then the Aggregate Payments shall be reduced (but not below zero ($0)) to</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$1.00</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Adverse</w:t>
      </w:r>
      <w:r>
        <w:rPr>
          <w:color w:val="000000"/>
        </w:rPr>
        <w:t xml:space="preserve"> </w:t>
      </w:r>
      <w:r>
        <w:rPr>
          <w:rFonts w:ascii="Times New Roman" w:hAnsi="Times New Roman"/>
          <w:color w:val="000000"/>
          <w:sz w:val="24"/>
        </w:rPr>
        <w:t>280G</w:t>
      </w:r>
      <w:r>
        <w:rPr>
          <w:color w:val="000000"/>
        </w:rPr>
        <w:t xml:space="preserve"> </w:t>
      </w:r>
      <w:r>
        <w:rPr>
          <w:rFonts w:ascii="Times New Roman" w:hAnsi="Times New Roman"/>
          <w:color w:val="000000"/>
          <w:sz w:val="24"/>
        </w:rPr>
        <w:t>Consequences apply; provided that such reduction shall only occur if it would result in the Executive receiving</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higher</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receive if the Aggregate Payments were not subject to such reduction. In the event a reduction is warranted, the Aggregate Payments shall be reduced in the following order, in each case, in reverse chronological order beginning with the Aggregate Payments that are</w:t>
      </w:r>
      <w:r>
        <w:rPr>
          <w:color w:val="000000"/>
        </w:rPr>
        <w:t xml:space="preserve"> </w:t>
      </w:r>
      <w:r>
        <w:rPr>
          <w:rFonts w:ascii="Times New Roman" w:hAnsi="Times New Roman"/>
          <w:color w:val="000000"/>
          <w:sz w:val="24"/>
        </w:rPr>
        <w:t>to be paid the furthest in time from consummation of the transaction that is subject to Section</w:t>
      </w:r>
      <w:r>
        <w:rPr>
          <w:color w:val="000000"/>
        </w:rPr>
        <w:t xml:space="preserve"> </w:t>
      </w:r>
      <w:r>
        <w:rPr>
          <w:rFonts w:ascii="Times New Roman" w:hAnsi="Times New Roman"/>
          <w:color w:val="000000"/>
          <w:sz w:val="24"/>
        </w:rPr>
        <w:t>280G of the Code: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cash payments not subject to Section 409A; (b)</w:t>
      </w:r>
      <w:r>
        <w:rPr>
          <w:color w:val="000000"/>
        </w:rPr>
        <w:t xml:space="preserve"> </w:t>
      </w:r>
      <w:r>
        <w:rPr>
          <w:rFonts w:ascii="Times New Roman" w:hAnsi="Times New Roman"/>
          <w:color w:val="000000"/>
          <w:sz w:val="24"/>
        </w:rPr>
        <w:t xml:space="preserve">cash payments subject to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Section</w:t>
      </w:r>
      <w:r>
        <w:rPr>
          <w:color w:val="000000"/>
        </w:rPr>
        <w:t xml:space="preserve"> </w:t>
      </w:r>
      <w:r>
        <w:rPr>
          <w:rFonts w:ascii="Times New Roman" w:hAnsi="Times New Roman"/>
          <w:color w:val="000000"/>
          <w:sz w:val="24"/>
        </w:rPr>
        <w:t>409A; (c) equity-based payments and</w:t>
      </w:r>
      <w:r>
        <w:rPr>
          <w:color w:val="000000"/>
        </w:rPr>
        <w:t xml:space="preserve"> </w:t>
      </w:r>
      <w:r>
        <w:rPr>
          <w:rFonts w:ascii="Times New Roman" w:hAnsi="Times New Roman"/>
          <w:color w:val="000000"/>
          <w:sz w:val="24"/>
        </w:rPr>
        <w:t>acceleration; and (d)</w:t>
      </w:r>
      <w:r>
        <w:rPr>
          <w:color w:val="000000"/>
        </w:rPr>
        <w:t xml:space="preserve"> </w:t>
      </w:r>
      <w:r>
        <w:rPr>
          <w:rFonts w:ascii="Times New Roman" w:hAnsi="Times New Roman"/>
          <w:color w:val="000000"/>
          <w:sz w:val="24"/>
        </w:rPr>
        <w:t>non-cash</w:t>
      </w:r>
      <w:r>
        <w:rPr>
          <w:color w:val="000000"/>
        </w:rPr>
        <w:t xml:space="preserve"> </w:t>
      </w:r>
      <w:r>
        <w:rPr>
          <w:rFonts w:ascii="Times New Roman" w:hAnsi="Times New Roman"/>
          <w:color w:val="000000"/>
          <w:sz w:val="24"/>
        </w:rPr>
        <w:t>forms of benefits; provided, that, in the case of all the foregoing Aggregate Payments, all amounts or</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Treasury Regulation</w:t>
      </w:r>
      <w:r>
        <w:rPr>
          <w:color w:val="000000"/>
        </w:rPr>
        <w:t xml:space="preserve"> </w:t>
      </w:r>
      <w:r>
        <w:rPr>
          <w:rFonts w:ascii="Times New Roman" w:hAnsi="Times New Roman"/>
          <w:color w:val="000000"/>
          <w:sz w:val="24"/>
        </w:rPr>
        <w:t>Section 1.280G-1,</w:t>
      </w:r>
      <w:r>
        <w:rPr>
          <w:color w:val="000000"/>
        </w:rPr>
        <w:t xml:space="preserve"> </w:t>
      </w:r>
      <w:r>
        <w:rPr>
          <w:rFonts w:ascii="Times New Roman" w:hAnsi="Times New Roman"/>
          <w:color w:val="000000"/>
          <w:sz w:val="24"/>
        </w:rPr>
        <w:t>Q&amp;A-24(b)</w:t>
      </w:r>
      <w:r>
        <w:rPr>
          <w:color w:val="000000"/>
        </w:rPr>
        <w:t xml:space="preserve"> </w:t>
      </w:r>
      <w:r>
        <w:rPr>
          <w:rFonts w:ascii="Times New Roman" w:hAnsi="Times New Roman"/>
          <w:color w:val="000000"/>
          <w:sz w:val="24"/>
        </w:rPr>
        <w:t>or (c)</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reduced</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that are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1.280G-1,</w:t>
      </w:r>
      <w:r>
        <w:rPr>
          <w:color w:val="000000"/>
        </w:rPr>
        <w:t xml:space="preserve"> </w:t>
      </w:r>
      <w:r>
        <w:rPr>
          <w:rFonts w:ascii="Times New Roman" w:hAnsi="Times New Roman"/>
          <w:color w:val="000000"/>
          <w:sz w:val="24"/>
        </w:rPr>
        <w:t>Q&amp;A-24(b)</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 For purposes of this Agreement, the “</w:t>
      </w:r>
      <w:r>
        <w:rPr>
          <w:rFonts w:ascii="Times New Roman" w:hAnsi="Times New Roman"/>
          <w:color w:val="000000"/>
          <w:sz w:val="24"/>
          <w:u w:val="single"/>
        </w:rPr>
        <w:t>After Tax Amount</w:t>
      </w:r>
      <w:r>
        <w:rPr>
          <w:color w:val="000000"/>
        </w:rPr>
        <w:t xml:space="preserve">” </w:t>
      </w:r>
      <w:r>
        <w:rPr>
          <w:rFonts w:ascii="Times New Roman" w:hAnsi="Times New Roman"/>
          <w:color w:val="000000"/>
          <w:sz w:val="24"/>
        </w:rPr>
        <w:t>means the amount of the Aggregate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excise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taxes imposed on the Executive as a result of the Executive’s receipt of the Aggregate Payments.</w:t>
      </w:r>
      <w:r>
        <w:rPr>
          <w:color w:val="000000"/>
        </w:rPr>
        <w:t xml:space="preserve"> </w:t>
      </w:r>
      <w:r>
        <w:rPr>
          <w:rFonts w:ascii="Times New Roman" w:hAnsi="Times New Roman"/>
          <w:color w:val="000000"/>
          <w:sz w:val="24"/>
        </w:rPr>
        <w:t>For purposes of determining the After Tax Amount, the Executive shall be 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taxation applicable to individuals for the calendar year in which the determination is to be made, and</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individual</w:t>
      </w:r>
      <w:r>
        <w:rPr>
          <w:color w:val="000000"/>
        </w:rPr>
        <w:t xml:space="preserve"> </w:t>
      </w:r>
      <w:r>
        <w:rPr>
          <w:rFonts w:ascii="Times New Roman" w:hAnsi="Times New Roman"/>
          <w:color w:val="000000"/>
          <w:sz w:val="24"/>
        </w:rPr>
        <w:t>taxation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 applicable</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locality,</w:t>
      </w:r>
      <w:r>
        <w:rPr>
          <w:color w:val="000000"/>
        </w:rPr>
        <w:t xml:space="preserve"> </w:t>
      </w:r>
      <w:r>
        <w:rPr>
          <w:rFonts w:ascii="Times New Roman" w:hAnsi="Times New Roman"/>
          <w:color w:val="000000"/>
          <w:sz w:val="24"/>
        </w:rPr>
        <w:t>net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maximum</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which could be obtained from deduction of such state and local taxes. The determination as to whether a reduction in the Aggregate Payments shall be made pursuant to the Agreement shall be made by a nationally recognized accounting firm selected by the Company (the “</w:t>
      </w:r>
      <w:r>
        <w:rPr>
          <w:rFonts w:ascii="Times New Roman" w:hAnsi="Times New Roman"/>
          <w:color w:val="000000"/>
          <w:sz w:val="24"/>
          <w:u w:val="single"/>
        </w:rPr>
        <w:t>Accounting Firm</w:t>
      </w:r>
      <w:r>
        <w:rPr>
          <w:color w:val="000000"/>
        </w:rPr>
        <w:t>”</w:t>
      </w:r>
      <w:r>
        <w:rPr>
          <w:rFonts w:ascii="Times New Roman" w:hAnsi="Times New Roman"/>
          <w:color w:val="000000"/>
          <w:sz w:val="24"/>
        </w:rPr>
        <w:t>), which shall provide detailed supporting calculations both to the Company and the Executive within fifteen (15)</w:t>
      </w:r>
      <w:r>
        <w:rPr>
          <w:color w:val="000000"/>
        </w:rPr>
        <w:t xml:space="preserve"> </w:t>
      </w:r>
      <w:r>
        <w:rPr>
          <w:rFonts w:ascii="Times New Roman" w:hAnsi="Times New Roman"/>
          <w:color w:val="000000"/>
          <w:sz w:val="24"/>
        </w:rPr>
        <w:t>business days of the termination date, if applicable, or at such earlier time as is reasonably requested by the Company or the Executive.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Accounting</w:t>
      </w:r>
      <w:r>
        <w:rPr>
          <w:color w:val="000000"/>
        </w:rPr>
        <w:t xml:space="preserve"> </w:t>
      </w:r>
      <w:r>
        <w:rPr>
          <w:rFonts w:ascii="Times New Roman" w:hAnsi="Times New Roman"/>
          <w:color w:val="000000"/>
          <w:sz w:val="24"/>
        </w:rPr>
        <w:t>Firm</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binding</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and the Executive.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40" w:after="283"/>
        <w:jc w:val="both"/>
        <w:rPr/>
      </w:pPr>
      <w:r>
        <w:rPr>
          <w:rFonts w:ascii="Times New Roman" w:hAnsi="Times New Roman"/>
          <w:b/>
          <w:color w:val="000000"/>
          <w:sz w:val="24"/>
        </w:rPr>
        <w:t>Effect</w:t>
      </w:r>
      <w:r>
        <w:rPr>
          <w:color w:val="000000"/>
        </w:rPr>
        <w:t xml:space="preserve"> </w:t>
      </w:r>
      <w:r>
        <w:rPr>
          <w:rFonts w:ascii="Times New Roman" w:hAnsi="Times New Roman"/>
          <w:b/>
          <w:color w:val="000000"/>
          <w:sz w:val="24"/>
        </w:rPr>
        <w:t>on</w:t>
      </w:r>
      <w:r>
        <w:rPr>
          <w:color w:val="000000"/>
        </w:rPr>
        <w:t xml:space="preserve"> </w:t>
      </w:r>
      <w:r>
        <w:rPr>
          <w:rFonts w:ascii="Times New Roman" w:hAnsi="Times New Roman"/>
          <w:b/>
          <w:color w:val="000000"/>
          <w:sz w:val="24"/>
        </w:rPr>
        <w:t>Other</w:t>
      </w:r>
      <w:r>
        <w:rPr>
          <w:color w:val="000000"/>
        </w:rPr>
        <w:t xml:space="preserve"> </w:t>
      </w:r>
      <w:r>
        <w:rPr>
          <w:rFonts w:ascii="Times New Roman" w:hAnsi="Times New Roman"/>
          <w:b/>
          <w:color w:val="000000"/>
          <w:sz w:val="24"/>
        </w:rPr>
        <w:t>Plans</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Agreements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 severance benefits under any Company severance pay plan, policy, offer letter or otherwise.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 limitation,</w:t>
      </w:r>
      <w:r>
        <w:rPr>
          <w:color w:val="000000"/>
        </w:rPr>
        <w:t xml:space="preserve"> </w:t>
      </w:r>
      <w:r>
        <w:rPr>
          <w:rFonts w:ascii="Times New Roman" w:hAnsi="Times New Roman"/>
          <w:color w:val="000000"/>
          <w:sz w:val="24"/>
        </w:rPr>
        <w:t>so-called</w:t>
      </w:r>
      <w:r>
        <w:rPr>
          <w:color w:val="000000"/>
        </w:rPr>
        <w:t xml:space="preserve"> “</w:t>
      </w:r>
      <w:r>
        <w:rPr>
          <w:rFonts w:ascii="Times New Roman" w:hAnsi="Times New Roman"/>
          <w:color w:val="000000"/>
          <w:sz w:val="24"/>
        </w:rPr>
        <w:t>plant</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requires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give</w:t>
      </w:r>
      <w:r>
        <w:rPr>
          <w:color w:val="000000"/>
        </w:rPr>
        <w:t xml:space="preserve"> </w:t>
      </w:r>
      <w:r>
        <w:rPr>
          <w:rFonts w:ascii="Times New Roman" w:hAnsi="Times New Roman"/>
          <w:color w:val="000000"/>
          <w:sz w:val="24"/>
        </w:rPr>
        <w:t>advance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or make a payment of any kind to the Executive because of the Executive’s involuntary termination</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 a</w:t>
      </w:r>
      <w:r>
        <w:rPr>
          <w:color w:val="000000"/>
        </w:rPr>
        <w:t xml:space="preserve"> </w:t>
      </w:r>
      <w:r>
        <w:rPr>
          <w:rFonts w:ascii="Times New Roman" w:hAnsi="Times New Roman"/>
          <w:color w:val="000000"/>
          <w:sz w:val="24"/>
        </w:rPr>
        <w:t>layoff,</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 force,</w:t>
      </w:r>
      <w:r>
        <w:rPr>
          <w:color w:val="000000"/>
        </w:rPr>
        <w:t xml:space="preserve"> </w:t>
      </w:r>
      <w:r>
        <w:rPr>
          <w:rFonts w:ascii="Times New Roman" w:hAnsi="Times New Roman"/>
          <w:color w:val="000000"/>
          <w:sz w:val="24"/>
        </w:rPr>
        <w:t>plant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facility</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sale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 or similar event, the Severance Benefits provided under this Agreement or the other arrangement shall either be reduced or eliminated to avoid any duplication of payment.</w:t>
      </w:r>
    </w:p>
    <w:p>
      <w:pPr>
        <w:pStyle w:val="TextBody"/>
        <w:bidi w:val="0"/>
        <w:spacing w:before="241"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duly authorized representative, and by the Executive, as of the date first above written.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Kailera</w:t>
      </w:r>
      <w:r>
        <w:rPr>
          <w:rFonts w:ascii="Times New Roman" w:hAnsi="Times New Roman"/>
          <w:color w:val="000000"/>
          <w:sz w:val="20"/>
        </w:rPr>
        <w:t xml:space="preserve"> </w:t>
      </w:r>
      <w:r>
        <w:rPr>
          <w:rFonts w:ascii="Times New Roman" w:hAnsi="Times New Roman"/>
          <w:color w:val="000000"/>
          <w:sz w:val="24"/>
        </w:rPr>
        <w:t>Therapeutics, Inc.</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/s/Ronald C. Renaud, Jr</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Ronald C. Renaud, Jr.</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Its:</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14" w:after="283"/>
              <w:jc w:val="left"/>
              <w:rPr>
                <w:rFonts w:ascii="Times New Roman" w:hAnsi="Times New Roman"/>
                <w:color w:val="000000"/>
                <w:sz w:val="24"/>
              </w:rPr>
            </w:pPr>
            <w:r>
              <w:rPr>
                <w:rFonts w:ascii="Times New Roman" w:hAnsi="Times New Roman"/>
                <w:color w:val="000000"/>
                <w:sz w:val="24"/>
              </w:rPr>
              <w:t>/s/ Paul Burgess</w:t>
            </w:r>
          </w:p>
        </w:tc>
      </w:tr>
      <w:tr>
        <w:trPr/>
        <w:tc>
          <w:tcPr>
            <w:tcW w:w="1681"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4"/>
              </w:rPr>
            </w:pPr>
            <w:r>
              <w:rPr>
                <w:rFonts w:ascii="Times New Roman" w:hAnsi="Times New Roman"/>
                <w:color w:val="000000"/>
                <w:sz w:val="24"/>
              </w:rPr>
              <w:t>Paul Burgess</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rPr>
        <w:t>to Amended</w:t>
      </w:r>
      <w:r>
        <w:rPr>
          <w:rFonts w:ascii="Times New Roman" w:hAnsi="Times New Roman"/>
          <w:color w:val="000000"/>
          <w:sz w:val="20"/>
        </w:rPr>
        <w:t xml:space="preserve"> </w:t>
      </w:r>
      <w:r>
        <w:rPr>
          <w:rFonts w:ascii="Times New Roman" w:hAnsi="Times New Roman"/>
          <w:color w:val="000000"/>
          <w:sz w:val="24"/>
        </w:rPr>
        <w:t>and Restated Employment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ck0002096997-ex10_6.htm"/>
      <w:bookmarkStart w:id="27" w:name="ksck0002096997ex10_6"/>
      <w:bookmarkEnd w:id="26"/>
      <w:bookmarkEnd w:id="27"/>
      <w:r>
        <w:rPr>
          <w:rFonts w:ascii="Times New Roman" w:hAnsi="Times New Roman"/>
          <w:b/>
          <w:color w:val="000000"/>
          <w:sz w:val="24"/>
        </w:rPr>
        <w:t>Exhibit 10.6</w:t>
      </w:r>
      <w:r>
        <w:br w:type="page"/>
      </w:r>
    </w:p>
    <w:p>
      <w:pPr>
        <w:pStyle w:val="Heading1"/>
        <w:bidi w:val="0"/>
        <w:spacing w:before="240" w:after="283"/>
        <w:jc w:val="center"/>
        <w:rPr>
          <w:rFonts w:ascii="Times New Roman" w:hAnsi="Times New Roman"/>
          <w:sz w:val="20"/>
        </w:rPr>
      </w:pPr>
      <w:r>
        <w:rPr>
          <w:rFonts w:ascii="Times New Roman" w:hAnsi="Times New Roman"/>
          <w:color w:val="000000"/>
          <w:sz w:val="24"/>
        </w:rPr>
        <w:t>AMENDED AND RESTATED</w:t>
      </w:r>
      <w:r>
        <w:rPr>
          <w:rFonts w:ascii="Times New Roman" w:hAnsi="Times New Roman"/>
          <w:color w:val="000000"/>
          <w:sz w:val="20"/>
        </w:rPr>
        <w:t xml:space="preserve"> </w:t>
      </w:r>
    </w:p>
    <w:p>
      <w:pPr>
        <w:pStyle w:val="Heading1"/>
        <w:bidi w:val="0"/>
        <w:jc w:val="center"/>
        <w:rPr>
          <w:rFonts w:ascii="Times New Roman" w:hAnsi="Times New Roman"/>
          <w:sz w:val="20"/>
        </w:rPr>
      </w:pPr>
      <w:r>
        <w:rPr>
          <w:rFonts w:ascii="Times New Roman" w:hAnsi="Times New Roman"/>
          <w:color w:val="000000"/>
          <w:sz w:val="24"/>
        </w:rPr>
        <w:t>EMPLOYMENT</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EMPLOYMENT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as of April 14, 2026, by and between Kailera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Jamie Coleman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and will be effective as of the Effective Date (as defined below). Certain capitalized terms used, but not otherwise defined, in this Agreement are defined in Section 6 hereof.</w:t>
      </w:r>
    </w:p>
    <w:p>
      <w:pPr>
        <w:pStyle w:val="TextBody"/>
        <w:bidi w:val="0"/>
        <w:spacing w:before="240" w:after="283"/>
        <w:jc w:val="both"/>
        <w:rPr>
          <w:rFonts w:ascii="Times New Roman" w:hAnsi="Times New Roman"/>
          <w:sz w:val="20"/>
        </w:rPr>
      </w:pP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Executive</w:t>
      </w:r>
      <w:r>
        <w:rPr>
          <w:rFonts w:ascii="Times New Roman" w:hAnsi="Times New Roman"/>
          <w:color w:val="000000"/>
          <w:sz w:val="20"/>
        </w:rPr>
        <w:t xml:space="preserve"> </w:t>
      </w:r>
      <w:r>
        <w:rPr>
          <w:rFonts w:ascii="Times New Roman" w:hAnsi="Times New Roman"/>
          <w:color w:val="000000"/>
          <w:sz w:val="24"/>
        </w:rPr>
        <w:t>previously</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certain</w:t>
      </w:r>
      <w:r>
        <w:rPr>
          <w:rFonts w:ascii="Times New Roman" w:hAnsi="Times New Roman"/>
          <w:color w:val="000000"/>
          <w:sz w:val="20"/>
        </w:rPr>
        <w:t xml:space="preserve"> </w:t>
      </w:r>
      <w:r>
        <w:rPr>
          <w:rFonts w:ascii="Times New Roman" w:hAnsi="Times New Roman"/>
          <w:color w:val="000000"/>
          <w:sz w:val="24"/>
        </w:rPr>
        <w:t>Employment Agreement, dated as of January 3, 2025 (the “</w:t>
      </w:r>
      <w:r>
        <w:rPr>
          <w:rFonts w:ascii="Times New Roman" w:hAnsi="Times New Roman"/>
          <w:color w:val="000000"/>
          <w:sz w:val="24"/>
          <w:u w:val="single"/>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Statement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S-1</w:t>
      </w:r>
      <w:r>
        <w:rPr>
          <w:rFonts w:ascii="Times New Roman" w:hAnsi="Times New Roman"/>
          <w:color w:val="000000"/>
          <w:sz w:val="20"/>
        </w:rPr>
        <w:t xml:space="preserve"> </w:t>
      </w:r>
      <w:r>
        <w:rPr>
          <w:rFonts w:ascii="Times New Roman" w:hAnsi="Times New Roman"/>
          <w:color w:val="000000"/>
          <w:sz w:val="24"/>
        </w:rPr>
        <w:t>filed with the Securities and Exchange Commission relating to the registered underwritten public offering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Effective</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desires to continue to benefit from the services of the Executive, and the Executive desires to continue to render such services, on the terms and conditions set forth in this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effective as of the Effective Date, this Agreement will supersede the Prior Agreement in all respects.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covenants contained herein and intending to be legally bound hereby, the Company and the Executive agree as follows, effective on the Effective Date: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pPr>
      <w:r>
        <w:rPr>
          <w:rFonts w:ascii="Times New Roman" w:hAnsi="Times New Roman"/>
          <w:b/>
          <w:color w:val="000000"/>
          <w:sz w:val="24"/>
        </w:rPr>
        <w:t>Employment,</w:t>
      </w:r>
      <w:r>
        <w:rPr>
          <w:color w:val="000000"/>
        </w:rPr>
        <w:t xml:space="preserve"> </w:t>
      </w:r>
      <w:r>
        <w:rPr>
          <w:rFonts w:ascii="Times New Roman" w:hAnsi="Times New Roman"/>
          <w:b/>
          <w:color w:val="000000"/>
          <w:sz w:val="24"/>
        </w:rPr>
        <w:t>Position</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Duties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continue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full-time basis,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Chief</w:t>
      </w:r>
      <w:r>
        <w:rPr>
          <w:color w:val="000000"/>
        </w:rPr>
        <w:t xml:space="preserve"> </w:t>
      </w:r>
      <w:r>
        <w:rPr>
          <w:rFonts w:ascii="Times New Roman" w:hAnsi="Times New Roman"/>
          <w:color w:val="000000"/>
          <w:sz w:val="24"/>
        </w:rPr>
        <w:t>Commercial</w:t>
      </w:r>
      <w:r>
        <w:rPr>
          <w:color w:val="000000"/>
        </w:rPr>
        <w:t xml:space="preserve"> </w:t>
      </w:r>
      <w:r>
        <w:rPr>
          <w:rFonts w:ascii="Times New Roman" w:hAnsi="Times New Roman"/>
          <w:color w:val="000000"/>
          <w:sz w:val="24"/>
        </w:rPr>
        <w:t>Officer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reporting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Chief Executive Officer (the “</w:t>
      </w:r>
      <w:r>
        <w:rPr>
          <w:rFonts w:ascii="Times New Roman" w:hAnsi="Times New Roman"/>
          <w:color w:val="000000"/>
          <w:sz w:val="24"/>
          <w:u w:val="single"/>
        </w:rPr>
        <w:t>CEO</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acknowledge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is and shall continue to be at-will, as defined under applicable law, and that Executive’s employment with the Company may be terminated by either party at any time for any or no reason (subject to the notice requirements of Section 4(a)).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a duly authorized officer of the Company or as provided by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The Executive agrees to perform the duties and responsibilities of the Executive’s positions, and such other duties and responsibilities as are</w:t>
      </w:r>
      <w:r>
        <w:rPr>
          <w:color w:val="000000"/>
        </w:rPr>
        <w:t xml:space="preserve"> </w:t>
      </w:r>
      <w:r>
        <w:rPr>
          <w:rFonts w:ascii="Times New Roman" w:hAnsi="Times New Roman"/>
          <w:color w:val="000000"/>
          <w:sz w:val="24"/>
        </w:rPr>
        <w:t>appropriate for the Executive’s positions and as may reasonably be assigned to the Executive from time to time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also</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while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 the Company, the Executive will devote the Executive’s full business time and the Executive’s</w:t>
      </w:r>
      <w:r>
        <w:rPr>
          <w:color w:val="000000"/>
        </w:rPr>
        <w:t xml:space="preserve"> </w:t>
      </w:r>
      <w:r>
        <w:rPr>
          <w:rFonts w:ascii="Times New Roman" w:hAnsi="Times New Roman"/>
          <w:color w:val="000000"/>
          <w:sz w:val="24"/>
        </w:rPr>
        <w:t>best</w:t>
      </w:r>
      <w:r>
        <w:rPr>
          <w:color w:val="000000"/>
        </w:rPr>
        <w:t xml:space="preserve"> </w:t>
      </w:r>
      <w:r>
        <w:rPr>
          <w:rFonts w:ascii="Times New Roman" w:hAnsi="Times New Roman"/>
          <w:color w:val="000000"/>
          <w:sz w:val="24"/>
        </w:rPr>
        <w:t>efforts,</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judgment,</w:t>
      </w:r>
      <w:r>
        <w:rPr>
          <w:color w:val="000000"/>
        </w:rPr>
        <w:t xml:space="preserve"> </w:t>
      </w:r>
      <w:r>
        <w:rPr>
          <w:rFonts w:ascii="Times New Roman" w:hAnsi="Times New Roman"/>
          <w:color w:val="000000"/>
          <w:sz w:val="24"/>
        </w:rPr>
        <w:t>skill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knowledge</w:t>
      </w:r>
      <w:r>
        <w:rPr>
          <w:color w:val="000000"/>
        </w:rPr>
        <w:t xml:space="preserve"> </w:t>
      </w:r>
      <w:r>
        <w:rPr>
          <w:rFonts w:ascii="Times New Roman" w:hAnsi="Times New Roman"/>
          <w:color w:val="000000"/>
          <w:sz w:val="24"/>
        </w:rPr>
        <w:t>exclusively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 xml:space="preserve">the advancement of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business interests of the Company and its Affiliates and to the discharge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 (i)</w:t>
      </w:r>
      <w:r>
        <w:rPr>
          <w:color w:val="000000"/>
        </w:rPr>
        <w:t xml:space="preserve"> </w:t>
      </w:r>
      <w:r>
        <w:rPr>
          <w:rFonts w:ascii="Times New Roman" w:hAnsi="Times New Roman"/>
          <w:color w:val="000000"/>
          <w:sz w:val="24"/>
        </w:rPr>
        <w:t>engage</w:t>
      </w:r>
      <w:r>
        <w:rPr>
          <w:color w:val="000000"/>
        </w:rPr>
        <w:t xml:space="preserve"> </w:t>
      </w:r>
      <w:r>
        <w:rPr>
          <w:rFonts w:ascii="Times New Roman" w:hAnsi="Times New Roman"/>
          <w:color w:val="000000"/>
          <w:sz w:val="24"/>
        </w:rPr>
        <w:t>in any other</w:t>
      </w:r>
      <w:r>
        <w:rPr>
          <w:color w:val="000000"/>
        </w:rPr>
        <w:t xml:space="preserve"> </w:t>
      </w:r>
      <w:r>
        <w:rPr>
          <w:rFonts w:ascii="Times New Roman" w:hAnsi="Times New Roman"/>
          <w:color w:val="000000"/>
          <w:sz w:val="24"/>
        </w:rPr>
        <w:t>business activity, except as 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expressly approved in advance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writing,</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consider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faith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request</w:t>
      </w:r>
      <w:r>
        <w:rPr>
          <w:color w:val="000000"/>
        </w:rPr>
        <w:t xml:space="preserve"> </w:t>
      </w:r>
      <w:r>
        <w:rPr>
          <w:rFonts w:ascii="Times New Roman" w:hAnsi="Times New Roman"/>
          <w:color w:val="000000"/>
          <w:sz w:val="24"/>
        </w:rPr>
        <w:t>made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clause</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serve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industry,</w:t>
      </w:r>
      <w:r>
        <w:rPr>
          <w:color w:val="000000"/>
        </w:rPr>
        <w:t xml:space="preserve"> </w:t>
      </w:r>
      <w:r>
        <w:rPr>
          <w:rFonts w:ascii="Times New Roman" w:hAnsi="Times New Roman"/>
          <w:color w:val="000000"/>
          <w:sz w:val="24"/>
        </w:rPr>
        <w:t>trade,</w:t>
      </w:r>
      <w:r>
        <w:rPr>
          <w:color w:val="000000"/>
        </w:rPr>
        <w:t xml:space="preserve"> </w:t>
      </w:r>
      <w:r>
        <w:rPr>
          <w:rFonts w:ascii="Times New Roman" w:hAnsi="Times New Roman"/>
          <w:color w:val="000000"/>
          <w:sz w:val="24"/>
        </w:rPr>
        <w:t>professional, governmental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academic</w:t>
      </w:r>
      <w:r>
        <w:rPr>
          <w:color w:val="000000"/>
        </w:rPr>
        <w:t xml:space="preserve"> </w:t>
      </w:r>
      <w:r>
        <w:rPr>
          <w:rFonts w:ascii="Times New Roman" w:hAnsi="Times New Roman"/>
          <w:color w:val="000000"/>
          <w:sz w:val="24"/>
        </w:rPr>
        <w:t>position</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 expressly approved in advance by the CEO in writing, with approval of any service contemplated by this clause (ii) not to be unreasonably withheld; provided, however, that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participate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activities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Agreement and may, without advance consent, participate in charitable and/or civic activities and engage in personal investment activities, in each case, to the extent such activities, individually or in the aggregate, do not materially interfere with the performance of the Executive’s duties under this Agreement, create a conflict of interest or violate any restrictive</w:t>
      </w:r>
      <w:r>
        <w:rPr>
          <w:color w:val="000000"/>
        </w:rPr>
        <w:t xml:space="preserve"> </w:t>
      </w:r>
      <w:r>
        <w:rPr>
          <w:rFonts w:ascii="Times New Roman" w:hAnsi="Times New Roman"/>
          <w:color w:val="000000"/>
          <w:sz w:val="24"/>
        </w:rPr>
        <w:t>covenant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favor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 Affiliates. Executive shall be permitted to work remotely and periodically travel to the Company’s office(s) as reasonably requested. Executive shall be required to travel from 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necessary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maintain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valid</w:t>
      </w:r>
      <w:r>
        <w:rPr>
          <w:color w:val="000000"/>
        </w:rPr>
        <w:t xml:space="preserve"> </w:t>
      </w:r>
      <w:r>
        <w:rPr>
          <w:rFonts w:ascii="Times New Roman" w:hAnsi="Times New Roman"/>
          <w:color w:val="000000"/>
          <w:sz w:val="24"/>
        </w:rPr>
        <w:t>passport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ability to travel at all times.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pPr>
      <w:r>
        <w:rPr>
          <w:rFonts w:ascii="Times New Roman" w:hAnsi="Times New Roman"/>
          <w:b/>
          <w:color w:val="000000"/>
          <w:sz w:val="24"/>
        </w:rPr>
        <w:t>Compensation and Benefits</w:t>
      </w:r>
      <w:r>
        <w:rPr>
          <w:rFonts w:ascii="Times New Roman" w:hAnsi="Times New Roman"/>
          <w:color w:val="000000"/>
          <w:sz w:val="24"/>
        </w:rPr>
        <w:t>. During the Executive’s employment hereunder, as compensation for all services performed by the Executive for the Company and its Affiliates, the Company will provide the Executive with the following compensation and benefits: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Base Salary</w:t>
      </w:r>
      <w:r>
        <w:rPr>
          <w:rFonts w:ascii="Times New Roman" w:hAnsi="Times New Roman"/>
          <w:color w:val="000000"/>
          <w:sz w:val="24"/>
        </w:rPr>
        <w:t>. The Company will pay the Executive a base salary at the rate of $468,000 per year (pro-rated for partial years of employment), in accordance with the regular payroll practices of the Company and subject to increase from time to time as 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Talent</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Compensation</w:t>
      </w:r>
      <w:r>
        <w:rPr>
          <w:color w:val="000000"/>
          <w:u w:val="single"/>
        </w:rPr>
        <w:t xml:space="preserve"> </w:t>
      </w:r>
      <w:r>
        <w:rPr>
          <w:rFonts w:ascii="Times New Roman" w:hAnsi="Times New Roman"/>
          <w:color w:val="000000"/>
          <w:sz w:val="24"/>
          <w:u w:val="single"/>
        </w:rPr>
        <w:t>Committee</w:t>
      </w:r>
      <w:r>
        <w:rPr>
          <w:color w:val="000000"/>
        </w:rPr>
        <w:t>”</w:t>
      </w:r>
      <w:r>
        <w:rPr>
          <w:rFonts w:ascii="Times New Roman" w:hAnsi="Times New Roman"/>
          <w:color w:val="000000"/>
          <w:sz w:val="24"/>
        </w:rPr>
        <w:t>) of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in its sole discretion (with such base salary,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increased</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Base</w:t>
      </w:r>
      <w:r>
        <w:rPr>
          <w:color w:val="000000"/>
          <w:u w:val="single"/>
        </w:rPr>
        <w:t xml:space="preserve"> </w:t>
      </w:r>
      <w:r>
        <w:rPr>
          <w:rFonts w:ascii="Times New Roman" w:hAnsi="Times New Roman"/>
          <w:color w:val="000000"/>
          <w:sz w:val="24"/>
          <w:u w:val="single"/>
        </w:rPr>
        <w:t>Salary</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anything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contrary in the foregoing, the Base Salary may be reduced, on a proportionate basis, in connection with an across-the-board base salary reduction applicable to all senior executives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Bonus Compensation</w:t>
      </w:r>
      <w:r>
        <w:rPr>
          <w:rFonts w:ascii="Times New Roman" w:hAnsi="Times New Roman"/>
          <w:color w:val="000000"/>
          <w:sz w:val="24"/>
        </w:rPr>
        <w:t>. For each fiscal year completed during the Executive’s employment under this Agreement, the Executive will be eligible to earn an annual bonus (each, an “</w:t>
      </w:r>
      <w:r>
        <w:rPr>
          <w:rFonts w:ascii="Times New Roman" w:hAnsi="Times New Roman"/>
          <w:color w:val="000000"/>
          <w:sz w:val="24"/>
          <w:u w:val="single"/>
        </w:rPr>
        <w:t>Annual Bonus</w:t>
      </w:r>
      <w:r>
        <w:rPr>
          <w:color w:val="000000"/>
        </w:rPr>
        <w:t>”</w:t>
      </w:r>
      <w:r>
        <w:rPr>
          <w:rFonts w:ascii="Times New Roman" w:hAnsi="Times New Roman"/>
          <w:color w:val="000000"/>
          <w:sz w:val="24"/>
        </w:rPr>
        <w:t>), pursuant to the Company’s bonus plan as in 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Bonus</w:t>
      </w:r>
      <w:r>
        <w:rPr>
          <w:color w:val="000000"/>
          <w:u w:val="single"/>
        </w:rPr>
        <w:t xml:space="preserve"> </w:t>
      </w:r>
      <w:r>
        <w:rPr>
          <w:rFonts w:ascii="Times New Roman" w:hAnsi="Times New Roman"/>
          <w:color w:val="000000"/>
          <w:sz w:val="24"/>
          <w:u w:val="single"/>
        </w:rPr>
        <w:t>Plan</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 40% of the Base Salary (the “</w:t>
      </w:r>
      <w:r>
        <w:rPr>
          <w:rFonts w:ascii="Times New Roman" w:hAnsi="Times New Roman"/>
          <w:color w:val="000000"/>
          <w:sz w:val="24"/>
          <w:u w:val="single"/>
        </w:rPr>
        <w:t>Target Bonus</w:t>
      </w:r>
      <w:r>
        <w:rPr>
          <w:color w:val="000000"/>
        </w:rPr>
        <w:t>”</w:t>
      </w:r>
      <w:r>
        <w:rPr>
          <w:rFonts w:ascii="Times New Roman" w:hAnsi="Times New Roman"/>
          <w:color w:val="000000"/>
          <w:sz w:val="24"/>
        </w:rPr>
        <w:t>), with the actual amount of any such Annual Bonus to be reasonably determined by the Compensation Committee in accordance with the Bonus Plan, based on the Executive’s performance and the Company’s performance against</w:t>
      </w:r>
      <w:r>
        <w:rPr>
          <w:color w:val="000000"/>
        </w:rPr>
        <w:t xml:space="preserve"> </w:t>
      </w:r>
      <w:r>
        <w:rPr>
          <w:rFonts w:ascii="Times New Roman" w:hAnsi="Times New Roman"/>
          <w:color w:val="000000"/>
          <w:sz w:val="24"/>
        </w:rPr>
        <w:t>goals</w:t>
      </w:r>
      <w:r>
        <w:rPr>
          <w:color w:val="000000"/>
        </w:rPr>
        <w:t xml:space="preserve"> </w:t>
      </w:r>
      <w:r>
        <w:rPr>
          <w:rFonts w:ascii="Times New Roman" w:hAnsi="Times New Roman"/>
          <w:color w:val="000000"/>
          <w:sz w:val="24"/>
        </w:rPr>
        <w:t>reasonably established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relevant</w:t>
      </w:r>
      <w:r>
        <w:rPr>
          <w:color w:val="000000"/>
        </w:rPr>
        <w:t xml:space="preserve"> </w:t>
      </w:r>
      <w:r>
        <w:rPr>
          <w:rFonts w:ascii="Times New Roman" w:hAnsi="Times New Roman"/>
          <w:color w:val="000000"/>
          <w:sz w:val="24"/>
        </w:rPr>
        <w:t>fiscal year.</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order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the Executive must be employed with the Company through the date on which such Annual Bonus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 Bonus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w:t>
      </w:r>
      <w:r>
        <w:rPr>
          <w:rFonts w:ascii="Times New Roman" w:hAnsi="Times New Roman"/>
          <w:color w:val="000000"/>
          <w:sz w:val="24"/>
        </w:rPr>
        <w:t>. The Executive will be eligible for grants of equity or equity-based awards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 at the discretion of the Board.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Participation in Employee Benefit Plans</w:t>
      </w:r>
      <w:r>
        <w:rPr>
          <w:rFonts w:ascii="Times New Roman" w:hAnsi="Times New Roman"/>
          <w:color w:val="000000"/>
          <w:sz w:val="24"/>
        </w:rPr>
        <w:t>. The Executive will be entitled to participate in all Company employee benefit plans from time to time in effect for the Company’s senior executives of comparable status, except to the extent such plans are duplicative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 event this Agreement shall control unless this Agreement expressly provides otherwise.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participation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benefit</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applicable plan documents and generally applicable Company policies, as the same may be in effect from time to time, and any other restrictions or limitations imposed by law. Nothing in this Agreement shall preclude the Company from amending, terminating or replacing any of its plans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Paid Time Off</w:t>
      </w:r>
      <w:r>
        <w:rPr>
          <w:rFonts w:ascii="Times New Roman" w:hAnsi="Times New Roman"/>
          <w:color w:val="000000"/>
          <w:sz w:val="24"/>
        </w:rPr>
        <w:t>. The Executive will be entitled to paid time off (“</w:t>
      </w:r>
      <w:r>
        <w:rPr>
          <w:rFonts w:ascii="Times New Roman" w:hAnsi="Times New Roman"/>
          <w:color w:val="000000"/>
          <w:sz w:val="24"/>
          <w:u w:val="single"/>
        </w:rPr>
        <w:t>PTO</w:t>
      </w:r>
      <w:r>
        <w:rPr>
          <w:color w:val="000000"/>
        </w:rPr>
        <w:t>”</w:t>
      </w:r>
      <w:r>
        <w:rPr>
          <w:rFonts w:ascii="Times New Roman" w:hAnsi="Times New Roman"/>
          <w:color w:val="000000"/>
          <w:sz w:val="24"/>
        </w:rPr>
        <w:t>) in accordance with the policies of the Company as in effect for the Company’s senior executives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comparable</w:t>
      </w:r>
      <w:r>
        <w:rPr>
          <w:color w:val="000000"/>
        </w:rPr>
        <w:t xml:space="preserve"> </w:t>
      </w:r>
      <w:r>
        <w:rPr>
          <w:rFonts w:ascii="Times New Roman" w:hAnsi="Times New Roman"/>
          <w:color w:val="000000"/>
          <w:sz w:val="24"/>
        </w:rPr>
        <w:t>status,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 effect 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 PTO</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taken at</w:t>
      </w:r>
      <w:r>
        <w:rPr>
          <w:color w:val="000000"/>
        </w:rPr>
        <w:t xml:space="preserve"> </w:t>
      </w:r>
      <w:r>
        <w:rPr>
          <w:rFonts w:ascii="Times New Roman" w:hAnsi="Times New Roman"/>
          <w:color w:val="000000"/>
          <w:sz w:val="24"/>
        </w:rPr>
        <w:t>such times and intervals as the Executive shall determine, subject to the Company’s business needs.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Business Expenses</w:t>
      </w:r>
      <w:r>
        <w:rPr>
          <w:rFonts w:ascii="Times New Roman" w:hAnsi="Times New Roman"/>
          <w:color w:val="000000"/>
          <w:sz w:val="24"/>
        </w:rPr>
        <w:t>. The Company will pay or reimburse the Executive for all reasonable business expenses incurred or paid by the Executive in the performance of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responsibilities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policy as in effect from time to time and to such reasonable substantiation and documentation as 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 Company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 reimbursement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additional</w:t>
      </w:r>
      <w:r>
        <w:rPr>
          <w:color w:val="000000"/>
        </w:rPr>
        <w:t xml:space="preserve"> </w:t>
      </w:r>
      <w:r>
        <w:rPr>
          <w:rFonts w:ascii="Times New Roman" w:hAnsi="Times New Roman"/>
          <w:color w:val="000000"/>
          <w:sz w:val="24"/>
        </w:rPr>
        <w:t>rules: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the amount of</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affect the</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payment or reimbursement shall be made not later than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calendar year</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expense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incurred;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 to payment or</w:t>
      </w:r>
      <w:r>
        <w:rPr>
          <w:color w:val="000000"/>
        </w:rPr>
        <w:t xml:space="preserve"> </w:t>
      </w:r>
      <w:r>
        <w:rPr>
          <w:rFonts w:ascii="Times New Roman" w:hAnsi="Times New Roman"/>
          <w:color w:val="000000"/>
          <w:sz w:val="24"/>
        </w:rPr>
        <w:t>reimbursement shall not be</w:t>
      </w:r>
      <w:r>
        <w:rPr>
          <w:color w:val="000000"/>
        </w:rPr>
        <w:t xml:space="preserve"> </w:t>
      </w:r>
      <w:r>
        <w:rPr>
          <w:rFonts w:ascii="Times New Roman" w:hAnsi="Times New Roman"/>
          <w:color w:val="000000"/>
          <w:sz w:val="24"/>
        </w:rPr>
        <w:t>subject to liquidation or</w:t>
      </w:r>
      <w:r>
        <w:rPr>
          <w:color w:val="000000"/>
        </w:rPr>
        <w:t xml:space="preserve"> </w:t>
      </w:r>
      <w:r>
        <w:rPr>
          <w:rFonts w:ascii="Times New Roman" w:hAnsi="Times New Roman"/>
          <w:color w:val="000000"/>
          <w:sz w:val="24"/>
        </w:rPr>
        <w:t>exchange for any other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Key Man Life Insurance</w:t>
      </w:r>
      <w:r>
        <w:rPr>
          <w:rFonts w:ascii="Times New Roman" w:hAnsi="Times New Roman"/>
          <w:color w:val="000000"/>
          <w:sz w:val="24"/>
        </w:rPr>
        <w:t>. The Company shall have the right to insure the life of the Executive for the Company’s sole benefit, and if the Company exercises this right, the Company shall determine the amount of insurance and the type of policy obtained. The Executive shall reasonably cooperate with the Company in obtaining such insurance by submitting to reasonable physical examinations, supplying all information reasonably required by any insurance carrier and executing all necessary documents reasonably required by any insurance carrier; provided, that, any information provided to an insurance company or broker shall not be provided to the Company without the prior written authorization of the Executive. The Executive shall incur no financial obligation by executing any required document and shall have no interest in any such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D&amp;O Insurance; Indemnification</w:t>
      </w:r>
      <w:r>
        <w:rPr>
          <w:rFonts w:ascii="Times New Roman" w:hAnsi="Times New Roman"/>
          <w:color w:val="000000"/>
          <w:sz w:val="24"/>
        </w:rPr>
        <w:t>. During the Executive’s period of employment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thereafter,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maintain</w:t>
      </w:r>
      <w:r>
        <w:rPr>
          <w:color w:val="000000"/>
        </w:rPr>
        <w:t xml:space="preserve"> </w:t>
      </w:r>
      <w:r>
        <w:rPr>
          <w:rFonts w:ascii="Times New Roman" w:hAnsi="Times New Roman"/>
          <w:color w:val="000000"/>
          <w:sz w:val="24"/>
        </w:rPr>
        <w:t>D&amp;O insurance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customary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organization</w:t>
      </w:r>
      <w:r>
        <w:rPr>
          <w:color w:val="000000"/>
        </w:rPr>
        <w:t xml:space="preserve"> </w:t>
      </w:r>
      <w:r>
        <w:rPr>
          <w:rFonts w:ascii="Times New Roman" w:hAnsi="Times New Roman"/>
          <w:color w:val="000000"/>
          <w:sz w:val="24"/>
        </w:rPr>
        <w:t>similar to</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addition,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defend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indemnify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to the maximum extent allowable under its articles of organization, by-laws and charter and under applicable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rPr>
        <w:t>Termination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Employment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 shall continue until terminated pursuant to this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By the Company for Cause</w:t>
      </w:r>
      <w:r>
        <w:rPr>
          <w:rFonts w:ascii="Times New Roman" w:hAnsi="Times New Roman"/>
          <w:color w:val="000000"/>
          <w:sz w:val="24"/>
        </w:rPr>
        <w:t>. The Company may terminate the Executive’s employment for Cause upon notice to the Executive setting forth in reasonable detail the nature of the Cause.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the occurrence of any of the following: (i) the Executive’s willful and repeated refusal to comply with a lawful</w:t>
      </w:r>
      <w:r>
        <w:rPr>
          <w:color w:val="000000"/>
        </w:rPr>
        <w:t xml:space="preserve"> </w:t>
      </w:r>
      <w:r>
        <w:rPr>
          <w:rFonts w:ascii="Times New Roman" w:hAnsi="Times New Roman"/>
          <w:color w:val="000000"/>
          <w:sz w:val="24"/>
        </w:rPr>
        <w:t>directive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Board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CEO</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physical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mental</w:t>
      </w:r>
      <w:r>
        <w:rPr>
          <w:color w:val="000000"/>
        </w:rPr>
        <w:t xml:space="preserve"> </w:t>
      </w:r>
      <w:r>
        <w:rPr>
          <w:rFonts w:ascii="Times New Roman" w:hAnsi="Times New Roman"/>
          <w:color w:val="000000"/>
          <w:sz w:val="24"/>
        </w:rPr>
        <w:t>incapacity),(ii)</w:t>
      </w:r>
      <w:r>
        <w:rPr>
          <w:color w:val="000000"/>
        </w:rPr>
        <w:t xml:space="preserve"> </w:t>
      </w:r>
      <w:r>
        <w:rPr>
          <w:rFonts w:ascii="Times New Roman" w:hAnsi="Times New Roman"/>
          <w:color w:val="000000"/>
          <w:sz w:val="24"/>
        </w:rPr>
        <w:t>the Executive’s gross negligence or willful misconduct in the performance of the Executive’s duties and responsibilities to the Company or any of its Affiliates, (iii) the Executive’s</w:t>
      </w:r>
      <w:r>
        <w:rPr>
          <w:color w:val="000000"/>
        </w:rPr>
        <w:t xml:space="preserve"> </w:t>
      </w:r>
      <w:r>
        <w:rPr>
          <w:rFonts w:ascii="Times New Roman" w:hAnsi="Times New Roman"/>
          <w:color w:val="000000"/>
          <w:sz w:val="24"/>
        </w:rPr>
        <w:t>use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illegal</w:t>
      </w:r>
      <w:r>
        <w:rPr>
          <w:color w:val="000000"/>
        </w:rPr>
        <w:t xml:space="preserve"> </w:t>
      </w:r>
      <w:r>
        <w:rPr>
          <w:rFonts w:ascii="Times New Roman" w:hAnsi="Times New Roman"/>
          <w:color w:val="000000"/>
          <w:sz w:val="24"/>
        </w:rPr>
        <w:t>drugs</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workplace)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similar</w:t>
      </w:r>
      <w:r>
        <w:rPr>
          <w:color w:val="000000"/>
        </w:rPr>
        <w:t xml:space="preserve"> </w:t>
      </w:r>
      <w:r>
        <w:rPr>
          <w:rFonts w:ascii="Times New Roman" w:hAnsi="Times New Roman"/>
          <w:color w:val="000000"/>
          <w:sz w:val="24"/>
        </w:rPr>
        <w:t>conduct, even if not in conjunction with the Executive’s duties to the Company or any of its Affiliates, which could reasonably be expected to, or which does, cause the Company or any of its Affiliates to public disgrace or disrepute or material economic harm; (iv) the Executive’s material and willful breach of (A) this Agreement, (B) any Restrictive Covenant Agreement (as defined below) or (C) any written Company policy or code of ethics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conduct,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position,</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 from time to time, of which the Executive has received prior written notice, (v) the Executive’s indictment for (or procedural equivalent thereof), or plea of guilty or nolo contendere</w:t>
      </w:r>
      <w:r>
        <w:rPr>
          <w:color w:val="000000"/>
        </w:rPr>
        <w:t xml:space="preserve"> </w:t>
      </w:r>
      <w:r>
        <w:rPr>
          <w:rFonts w:ascii="Times New Roman" w:hAnsi="Times New Roman"/>
          <w:color w:val="000000"/>
          <w:sz w:val="24"/>
        </w:rPr>
        <w:t>to (A)</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felony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any crime</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moral</w:t>
      </w:r>
      <w:r>
        <w:rPr>
          <w:color w:val="000000"/>
        </w:rPr>
        <w:t xml:space="preserve"> </w:t>
      </w:r>
      <w:r>
        <w:rPr>
          <w:rFonts w:ascii="Times New Roman" w:hAnsi="Times New Roman"/>
          <w:color w:val="000000"/>
          <w:sz w:val="24"/>
        </w:rPr>
        <w:t>turpitude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in each case, a traffic related offense); or (vi) fraud, theft, embezzlement, unlawful harassment or other intentional misconduct by the Executive that is or could reasonably be expected to be materially harmful to the business interests or reputation of the Company or any of its Affiliates.</w:t>
      </w:r>
      <w:r>
        <w:rPr>
          <w:color w:val="000000"/>
        </w:rPr>
        <w:t xml:space="preserve"> </w:t>
      </w:r>
      <w:r>
        <w:rPr>
          <w:rFonts w:ascii="Times New Roman" w:hAnsi="Times New Roman"/>
          <w:color w:val="000000"/>
          <w:sz w:val="24"/>
        </w:rPr>
        <w:t>Further,</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clauses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above, unless (I) the Company provides the Executive with written notice of the event(s) alleged to constitute Cause thereunder; and (II) if such event(s) are susceptible to cure, the Executive has a fifteen (15)-day period in which to cure such event(s) following the Executive’s receipt of such written notice, and the Executive fails to cure such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By the Company without Cause</w:t>
      </w:r>
      <w:r>
        <w:rPr>
          <w:rFonts w:ascii="Times New Roman" w:hAnsi="Times New Roman"/>
          <w:color w:val="000000"/>
          <w:sz w:val="24"/>
        </w:rPr>
        <w:t>. The Company may terminate the Executive’s employment at any time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By the Executive for Good Reason</w:t>
      </w:r>
      <w:r>
        <w:rPr>
          <w:rFonts w:ascii="Times New Roman" w:hAnsi="Times New Roman"/>
          <w:color w:val="000000"/>
          <w:sz w:val="24"/>
        </w:rPr>
        <w:t>. The Executive may terminate the Executive’s employment for Good Reason. For purposes of this Agreement, “</w:t>
      </w:r>
      <w:r>
        <w:rPr>
          <w:rFonts w:ascii="Times New Roman" w:hAnsi="Times New Roman"/>
          <w:color w:val="000000"/>
          <w:sz w:val="24"/>
          <w:u w:val="single"/>
        </w:rPr>
        <w:t>Good</w:t>
      </w:r>
      <w:r>
        <w:rPr>
          <w:color w:val="000000"/>
        </w:rPr>
        <w:t xml:space="preserve"> </w:t>
      </w:r>
      <w:r>
        <w:rPr>
          <w:rFonts w:ascii="Times New Roman" w:hAnsi="Times New Roman"/>
          <w:color w:val="000000"/>
          <w:sz w:val="24"/>
          <w:u w:val="single"/>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diminution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 or</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diminution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greater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applied across-the-board to all similarly-situated executives of the Company on a proportionate basis, (ii) any material diminution in the Executive’s titles, authority, duties or responsibilities, (iii) a permanent reassignment of the Executive’s primary office to a location</w:t>
      </w:r>
      <w:r>
        <w:rPr>
          <w:color w:val="000000"/>
        </w:rPr>
        <w:t xml:space="preserve"> </w:t>
      </w:r>
      <w:r>
        <w:rPr>
          <w:rFonts w:ascii="Times New Roman" w:hAnsi="Times New Roman"/>
          <w:color w:val="000000"/>
          <w:sz w:val="24"/>
        </w:rPr>
        <w:t>more</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thirty-five</w:t>
      </w:r>
      <w:r>
        <w:rPr>
          <w:color w:val="000000"/>
        </w:rPr>
        <w:t xml:space="preserve"> </w:t>
      </w:r>
      <w:r>
        <w:rPr>
          <w:rFonts w:ascii="Times New Roman" w:hAnsi="Times New Roman"/>
          <w:color w:val="000000"/>
          <w:sz w:val="24"/>
        </w:rPr>
        <w:t>(35)</w:t>
      </w:r>
      <w:r>
        <w:rPr>
          <w:color w:val="000000"/>
        </w:rPr>
        <w:t xml:space="preserve"> </w:t>
      </w:r>
      <w:r>
        <w:rPr>
          <w:rFonts w:ascii="Times New Roman" w:hAnsi="Times New Roman"/>
          <w:color w:val="000000"/>
          <w:sz w:val="24"/>
        </w:rPr>
        <w:t>miles</w:t>
      </w:r>
      <w:r>
        <w:rPr>
          <w:color w:val="000000"/>
        </w:rPr>
        <w:t xml:space="preserve"> </w:t>
      </w:r>
      <w:r>
        <w:rPr>
          <w:rFonts w:ascii="Times New Roman" w:hAnsi="Times New Roman"/>
          <w:color w:val="000000"/>
          <w:sz w:val="24"/>
        </w:rPr>
        <w:t>away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then-current</w:t>
      </w:r>
      <w:r>
        <w:rPr>
          <w:color w:val="000000"/>
        </w:rPr>
        <w:t xml:space="preserve"> </w:t>
      </w:r>
      <w:r>
        <w:rPr>
          <w:rFonts w:ascii="Times New Roman" w:hAnsi="Times New Roman"/>
          <w:color w:val="000000"/>
          <w:sz w:val="24"/>
        </w:rPr>
        <w:t>principal place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exist</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clause(iii)</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permitted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work</w:t>
      </w:r>
      <w:r>
        <w:rPr>
          <w:color w:val="000000"/>
        </w:rPr>
        <w:t xml:space="preserve"> </w:t>
      </w:r>
      <w:r>
        <w:rPr>
          <w:rFonts w:ascii="Times New Roman" w:hAnsi="Times New Roman"/>
          <w:color w:val="000000"/>
          <w:sz w:val="24"/>
        </w:rPr>
        <w:t>remotely,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material</w:t>
      </w:r>
      <w:r>
        <w:rPr>
          <w:color w:val="000000"/>
        </w:rPr>
        <w:t xml:space="preserve"> </w:t>
      </w:r>
      <w:r>
        <w:rPr>
          <w:rFonts w:ascii="Times New Roman" w:hAnsi="Times New Roman"/>
          <w:color w:val="000000"/>
          <w:sz w:val="24"/>
        </w:rPr>
        <w:t>adversechange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remote</w:t>
      </w:r>
      <w:r>
        <w:rPr>
          <w:color w:val="000000"/>
        </w:rPr>
        <w:t xml:space="preserve"> </w:t>
      </w:r>
      <w:r>
        <w:rPr>
          <w:rFonts w:ascii="Times New Roman" w:hAnsi="Times New Roman"/>
          <w:color w:val="000000"/>
          <w:sz w:val="24"/>
        </w:rPr>
        <w:t>work</w:t>
      </w:r>
      <w:r>
        <w:rPr>
          <w:color w:val="000000"/>
        </w:rPr>
        <w:t xml:space="preserve"> </w:t>
      </w:r>
      <w:r>
        <w:rPr>
          <w:rFonts w:ascii="Times New Roman" w:hAnsi="Times New Roman"/>
          <w:color w:val="000000"/>
          <w:sz w:val="24"/>
        </w:rPr>
        <w:t>arrangement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instead</w:t>
      </w:r>
      <w:r>
        <w:rPr>
          <w:color w:val="000000"/>
        </w:rPr>
        <w:t xml:space="preserve"> </w:t>
      </w:r>
      <w:r>
        <w:rPr>
          <w:rFonts w:ascii="Times New Roman" w:hAnsi="Times New Roman"/>
          <w:color w:val="000000"/>
          <w:sz w:val="24"/>
        </w:rPr>
        <w:t>constitute</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or(iv)</w:t>
      </w:r>
      <w:r>
        <w:rPr>
          <w:color w:val="000000"/>
        </w:rPr>
        <w:t xml:space="preserve"> </w:t>
      </w:r>
      <w:r>
        <w:rPr>
          <w:rFonts w:ascii="Times New Roman" w:hAnsi="Times New Roman"/>
          <w:color w:val="000000"/>
          <w:sz w:val="24"/>
        </w:rPr>
        <w:t xml:space="preserve">a material breach by the Company of this Agreement, any Restrictive Covenant Agreement or any of the Equity Documents (defined as the documents governing any equity or equity-based interests of the Company or any Affiliate thereof that are held by the Executive);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Good Reason shall not exist hereunder unless the Executive has provided the Company with written notice of the event(s) alleged to constitute Good Reason within sixty (60) days after the date on which the Executive first obtains knowledge of the occurrence of the event(s) alleged to constitute Good Reason,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and the Company has failed to cure such event(s) within thirty (30) days following its receipt of such written notice. The Executive may terminate the Executive’s employment 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(30)-day</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(30)-day</w:t>
      </w:r>
      <w:r>
        <w:rPr>
          <w:color w:val="000000"/>
        </w:rPr>
        <w:t xml:space="preserve"> </w:t>
      </w:r>
      <w:r>
        <w:rPr>
          <w:rFonts w:ascii="Times New Roman" w:hAnsi="Times New Roman"/>
          <w:color w:val="000000"/>
          <w:sz w:val="24"/>
        </w:rPr>
        <w:t>cure period has expired, and if the Executive fails to effect such a termination, then the Executive</w:t>
      </w:r>
      <w:r>
        <w:rPr>
          <w:color w:val="000000"/>
        </w:rPr>
        <w:t xml:space="preserve"> </w:t>
      </w:r>
      <w:r>
        <w:rPr>
          <w:rFonts w:ascii="Times New Roman" w:hAnsi="Times New Roman"/>
          <w:color w:val="000000"/>
          <w:sz w:val="24"/>
        </w:rPr>
        <w:t>will be</w:t>
      </w:r>
      <w:r>
        <w:rPr>
          <w:color w:val="000000"/>
        </w:rPr>
        <w:t xml:space="preserve"> </w:t>
      </w:r>
      <w:r>
        <w:rPr>
          <w:rFonts w:ascii="Times New Roman" w:hAnsi="Times New Roman"/>
          <w:color w:val="000000"/>
          <w:sz w:val="24"/>
        </w:rPr>
        <w:t>deemed to have</w:t>
      </w:r>
      <w:r>
        <w:rPr>
          <w:color w:val="000000"/>
        </w:rPr>
        <w:t xml:space="preserve"> </w:t>
      </w:r>
      <w:r>
        <w:rPr>
          <w:rFonts w:ascii="Times New Roman" w:hAnsi="Times New Roman"/>
          <w:color w:val="000000"/>
          <w:sz w:val="24"/>
        </w:rPr>
        <w:t>irrevocably waived the</w:t>
      </w:r>
      <w:r>
        <w:rPr>
          <w:color w:val="000000"/>
        </w:rPr>
        <w:t xml:space="preserve"> </w:t>
      </w:r>
      <w:r>
        <w:rPr>
          <w:rFonts w:ascii="Times New Roman" w:hAnsi="Times New Roman"/>
          <w:color w:val="000000"/>
          <w:sz w:val="24"/>
        </w:rPr>
        <w:t>right to resign 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 on the basis of such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By</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Executive</w:t>
      </w:r>
      <w:r>
        <w:rPr>
          <w:color w:val="000000"/>
          <w:u w:val="single"/>
        </w:rPr>
        <w:t xml:space="preserve"> </w:t>
      </w:r>
      <w:r>
        <w:rPr>
          <w:rFonts w:ascii="Times New Roman" w:hAnsi="Times New Roman"/>
          <w:color w:val="000000"/>
          <w:sz w:val="24"/>
          <w:u w:val="single"/>
        </w:rPr>
        <w:t>other</w:t>
      </w:r>
      <w:r>
        <w:rPr>
          <w:color w:val="000000"/>
          <w:u w:val="single"/>
        </w:rPr>
        <w:t xml:space="preserve"> </w:t>
      </w:r>
      <w:r>
        <w:rPr>
          <w:rFonts w:ascii="Times New Roman" w:hAnsi="Times New Roman"/>
          <w:color w:val="000000"/>
          <w:sz w:val="24"/>
          <w:u w:val="single"/>
        </w:rPr>
        <w:t>than</w:t>
      </w:r>
      <w:r>
        <w:rPr>
          <w:color w:val="000000"/>
          <w:u w:val="single"/>
        </w:rPr>
        <w:t xml:space="preserve"> </w:t>
      </w:r>
      <w:r>
        <w:rPr>
          <w:rFonts w:ascii="Times New Roman" w:hAnsi="Times New Roman"/>
          <w:color w:val="000000"/>
          <w:sz w:val="24"/>
          <w:u w:val="single"/>
        </w:rPr>
        <w:t>for</w:t>
      </w:r>
      <w:r>
        <w:rPr>
          <w:color w:val="000000"/>
          <w:u w:val="single"/>
        </w:rPr>
        <w:t xml:space="preserve"> </w:t>
      </w:r>
      <w:r>
        <w:rPr>
          <w:rFonts w:ascii="Times New Roman" w:hAnsi="Times New Roman"/>
          <w:color w:val="000000"/>
          <w:sz w:val="24"/>
          <w:u w:val="single"/>
        </w:rPr>
        <w:t>Good</w:t>
      </w:r>
      <w:r>
        <w:rPr>
          <w:color w:val="000000"/>
          <w:u w:val="single"/>
        </w:rPr>
        <w:t xml:space="preserve"> </w:t>
      </w:r>
      <w:r>
        <w:rPr>
          <w:rFonts w:ascii="Times New Roman" w:hAnsi="Times New Roman"/>
          <w:color w:val="000000"/>
          <w:sz w:val="24"/>
          <w:u w:val="single"/>
        </w:rPr>
        <w:t>Reason</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terminate the Executive’s employment at any time upon thirty (30) days’ written notice to the Company. In the event of such resignation, the Company may accelerate the date of the Executive’s termination without such acceleration constituting a termination by the Company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Death and Disability</w:t>
      </w:r>
      <w:r>
        <w:rPr>
          <w:rFonts w:ascii="Times New Roman" w:hAnsi="Times New Roman"/>
          <w:color w:val="000000"/>
          <w:sz w:val="24"/>
        </w:rPr>
        <w:t>. The Executive’s employment hereunder shall automatically terminate in the event of the Executive’s death during employment. The Company may terminate the Executive’s employment, upon written notice to the Executive, in the event that the Executive becomes disabled during the Executive’s employment hereunder through any illness, injury, accident or condition of either a physical or psychological nature, whereby, as a result, the Executive is unable to perform substantially all of the Executive’s duties and responsibilities hereunder, even with a reasonable</w:t>
      </w:r>
      <w:r>
        <w:rPr>
          <w:color w:val="000000"/>
        </w:rPr>
        <w:t xml:space="preserve"> </w:t>
      </w:r>
      <w:r>
        <w:rPr>
          <w:rFonts w:ascii="Times New Roman" w:hAnsi="Times New Roman"/>
          <w:color w:val="000000"/>
          <w:sz w:val="24"/>
        </w:rPr>
        <w:t>accommodation,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hundred</w:t>
      </w:r>
      <w:r>
        <w:rPr>
          <w:color w:val="000000"/>
        </w:rPr>
        <w:t xml:space="preserve"> </w:t>
      </w:r>
      <w:r>
        <w:rPr>
          <w:rFonts w:ascii="Times New Roman" w:hAnsi="Times New Roman"/>
          <w:color w:val="000000"/>
          <w:sz w:val="24"/>
        </w:rPr>
        <w:t>twenty</w:t>
      </w:r>
      <w:r>
        <w:rPr>
          <w:color w:val="000000"/>
        </w:rPr>
        <w:t xml:space="preserve"> </w:t>
      </w:r>
      <w:r>
        <w:rPr>
          <w:rFonts w:ascii="Times New Roman" w:hAnsi="Times New Roman"/>
          <w:color w:val="000000"/>
          <w:sz w:val="24"/>
        </w:rPr>
        <w:t>(120)</w:t>
      </w:r>
      <w:r>
        <w:rPr>
          <w:color w:val="000000"/>
        </w:rPr>
        <w:t xml:space="preserve"> </w:t>
      </w:r>
      <w:r>
        <w:rPr>
          <w:rFonts w:ascii="Times New Roman" w:hAnsi="Times New Roman"/>
          <w:color w:val="000000"/>
          <w:sz w:val="24"/>
        </w:rPr>
        <w:t>consecutive</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or one hundred and fifty (150) days (whether or not consecutive) during any period of three hundred sixty-five (365) consecutive days. If any question shall arise as to whether the 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disabled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unable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perform</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 of the Executive’s duties and responsibilities for the Company and its Affiliates, the 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request</w:t>
      </w:r>
      <w:r>
        <w:rPr>
          <w:color w:val="000000"/>
        </w:rPr>
        <w:t xml:space="preserve"> </w:t>
      </w:r>
      <w:r>
        <w:rPr>
          <w:rFonts w:ascii="Times New Roman" w:hAnsi="Times New Roman"/>
          <w:color w:val="000000"/>
          <w:sz w:val="24"/>
        </w:rPr>
        <w:t>and cost,</w:t>
      </w:r>
      <w:r>
        <w:rPr>
          <w:color w:val="000000"/>
        </w:rPr>
        <w:t xml:space="preserve"> </w:t>
      </w:r>
      <w:r>
        <w:rPr>
          <w:rFonts w:ascii="Times New Roman" w:hAnsi="Times New Roman"/>
          <w:color w:val="000000"/>
          <w:sz w:val="24"/>
        </w:rPr>
        <w:t>submit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medical</w:t>
      </w:r>
      <w:r>
        <w:rPr>
          <w:color w:val="000000"/>
        </w:rPr>
        <w:t xml:space="preserve"> </w:t>
      </w:r>
      <w:r>
        <w:rPr>
          <w:rFonts w:ascii="Times New Roman" w:hAnsi="Times New Roman"/>
          <w:color w:val="000000"/>
          <w:sz w:val="24"/>
        </w:rPr>
        <w:t>examination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 physician</w:t>
      </w:r>
      <w:r>
        <w:rPr>
          <w:color w:val="000000"/>
        </w:rPr>
        <w:t xml:space="preserve"> </w:t>
      </w:r>
      <w:r>
        <w:rPr>
          <w:rFonts w:ascii="Times New Roman" w:hAnsi="Times New Roman"/>
          <w:color w:val="000000"/>
          <w:sz w:val="24"/>
        </w:rPr>
        <w:t>selected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guardian,</w:t>
      </w:r>
      <w:r>
        <w:rPr>
          <w:color w:val="000000"/>
        </w:rPr>
        <w:t xml:space="preserve"> </w:t>
      </w:r>
      <w:r>
        <w:rPr>
          <w:rFonts w:ascii="Times New Roman" w:hAnsi="Times New Roman"/>
          <w:color w:val="000000"/>
          <w:sz w:val="24"/>
        </w:rPr>
        <w:t>if any, has no reasonable objection to determine whether the Executive is so disabled, and such</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conclusive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such a question arises and the Executive fails to submit to the requested medical examination, the Company’s good faith, reasonable determination of the issue shall be binding on the Executive.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pPr>
      <w:r>
        <w:rPr>
          <w:rFonts w:ascii="Times New Roman" w:hAnsi="Times New Roman"/>
          <w:b/>
          <w:color w:val="000000"/>
          <w:sz w:val="24"/>
        </w:rPr>
        <w:t>Other</w:t>
      </w:r>
      <w:r>
        <w:rPr>
          <w:color w:val="000000"/>
        </w:rPr>
        <w:t xml:space="preserve"> </w:t>
      </w:r>
      <w:r>
        <w:rPr>
          <w:rFonts w:ascii="Times New Roman" w:hAnsi="Times New Roman"/>
          <w:b/>
          <w:color w:val="000000"/>
          <w:sz w:val="24"/>
        </w:rPr>
        <w:t>Matters</w:t>
      </w:r>
      <w:r>
        <w:rPr>
          <w:color w:val="000000"/>
        </w:rPr>
        <w:t xml:space="preserve"> </w:t>
      </w:r>
      <w:r>
        <w:rPr>
          <w:rFonts w:ascii="Times New Roman" w:hAnsi="Times New Roman"/>
          <w:b/>
          <w:color w:val="000000"/>
          <w:sz w:val="24"/>
        </w:rPr>
        <w:t>Related to</w:t>
      </w:r>
      <w:r>
        <w:rPr>
          <w:color w:val="000000"/>
        </w:rPr>
        <w:t xml:space="preserve"> </w:t>
      </w:r>
      <w:r>
        <w:rPr>
          <w:rFonts w:ascii="Times New Roman" w:hAnsi="Times New Roman"/>
          <w:b/>
          <w:color w:val="000000"/>
          <w:sz w:val="24"/>
        </w:rPr>
        <w:t>Termination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Notice</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 Company or by Executive under Section 3 (other than termination due to Executive’s death)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communicated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hereto</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indicating</w:t>
      </w:r>
      <w:r>
        <w:rPr>
          <w:color w:val="000000"/>
        </w:rPr>
        <w:t xml:space="preserve"> </w:t>
      </w:r>
      <w:r>
        <w:rPr>
          <w:rFonts w:ascii="Times New Roman" w:hAnsi="Times New Roman"/>
          <w:color w:val="000000"/>
          <w:sz w:val="24"/>
        </w:rPr>
        <w:t>the specific</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relied</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setting</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reasonable detail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facts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circumstances</w:t>
      </w:r>
      <w:r>
        <w:rPr>
          <w:color w:val="000000"/>
        </w:rPr>
        <w:t xml:space="preserve"> </w:t>
      </w:r>
      <w:r>
        <w:rPr>
          <w:rFonts w:ascii="Times New Roman" w:hAnsi="Times New Roman"/>
          <w:color w:val="000000"/>
          <w:sz w:val="24"/>
        </w:rPr>
        <w:t>claimed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 employment under the provision so indicated, if applicable, and (iii) specifying a Termination Date (as defined below) which, if submitted by Executive, shall be at least thirty (30) days following the date of such notice (a “</w:t>
      </w:r>
      <w:r>
        <w:rPr>
          <w:rFonts w:ascii="Times New Roman" w:hAnsi="Times New Roman"/>
          <w:color w:val="000000"/>
          <w:sz w:val="24"/>
          <w:u w:val="single"/>
        </w:rPr>
        <w:t>Notice of Termination</w:t>
      </w:r>
      <w:r>
        <w:rPr>
          <w:color w:val="000000"/>
        </w:rPr>
        <w:t>”</w:t>
      </w:r>
      <w:r>
        <w:rPr>
          <w:rFonts w:ascii="Times New Roman" w:hAnsi="Times New Roman"/>
          <w:color w:val="000000"/>
          <w:sz w:val="24"/>
        </w:rPr>
        <w:t>); provided, however,</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delivers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the Company may, in its sole discretion, change the Termination Date to any date that occurs on or following the date of the Company’s receipt of such Notice of Termination and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 and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shall still be considered a termination by the Executive. A Notice of Termination submitted by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receives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 xml:space="preserve">Notice of Termination, or any date thereafter elected by the Company in its sole discretion. The failure by the Company or Executive to set forth in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Notice of Termination any fact or circumstance</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contributes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showing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waive</w:t>
      </w:r>
      <w:r>
        <w:rPr>
          <w:color w:val="000000"/>
        </w:rPr>
        <w:t xml:space="preserve"> </w:t>
      </w:r>
      <w:r>
        <w:rPr>
          <w:rFonts w:ascii="Times New Roman" w:hAnsi="Times New Roman"/>
          <w:color w:val="000000"/>
          <w:sz w:val="24"/>
        </w:rPr>
        <w:t>any right of such party hereunder or preclude such party from asserting such fact or circumstance in enforcing such party’s rights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Final Compensation</w:t>
      </w:r>
      <w:r>
        <w:rPr>
          <w:rFonts w:ascii="Times New Roman" w:hAnsi="Times New Roman"/>
          <w:color w:val="000000"/>
          <w:sz w:val="24"/>
        </w:rPr>
        <w:t>. In the event of a termination of the Executive’s employment with the Company, howsoever occurring, the Company shall pay to the Executive (i) any Base Salary earned through, but unpaid as of, the date on which the Executive’s employment terminates (the “</w:t>
      </w:r>
      <w:r>
        <w:rPr>
          <w:rFonts w:ascii="Times New Roman" w:hAnsi="Times New Roman"/>
          <w:color w:val="000000"/>
          <w:sz w:val="24"/>
          <w:u w:val="single"/>
        </w:rPr>
        <w:t>Termination Date</w:t>
      </w:r>
      <w:r>
        <w:rPr>
          <w:color w:val="000000"/>
        </w:rPr>
        <w:t>”</w:t>
      </w:r>
      <w:r>
        <w:rPr>
          <w:rFonts w:ascii="Times New Roman" w:hAnsi="Times New Roman"/>
          <w:color w:val="000000"/>
          <w:sz w:val="24"/>
        </w:rPr>
        <w:t>) and (ii) reimbursement, in accordance with Section 2(f) hereof, for reasonable business expenses incurred by the Executive,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yet</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 Executive submits all such expenses and required supporting documentation within sixty (60) days after the Termination Date, and provided further that such expenses are reimbursable under Company policies then in effect (all of the foregoing, “</w:t>
      </w:r>
      <w:r>
        <w:rPr>
          <w:rFonts w:ascii="Times New Roman" w:hAnsi="Times New Roman"/>
          <w:color w:val="000000"/>
          <w:sz w:val="24"/>
          <w:u w:val="single"/>
        </w:rPr>
        <w:t>Final</w:t>
      </w:r>
      <w:r>
        <w:rPr>
          <w:color w:val="000000"/>
        </w:rPr>
        <w:t xml:space="preserve"> </w:t>
      </w:r>
      <w:r>
        <w:rPr>
          <w:rFonts w:ascii="Times New Roman" w:hAnsi="Times New Roman"/>
          <w:color w:val="000000"/>
          <w:sz w:val="24"/>
          <w:u w:val="single"/>
        </w:rPr>
        <w:t>Compensation</w:t>
      </w:r>
      <w:r>
        <w:rPr>
          <w:color w:val="000000"/>
        </w:rPr>
        <w:t>”</w:t>
      </w:r>
      <w:r>
        <w:rPr>
          <w:rFonts w:ascii="Times New Roman" w:hAnsi="Times New Roman"/>
          <w:color w:val="000000"/>
          <w:sz w:val="24"/>
        </w:rPr>
        <w:t>). Except as otherwise provided in this Section 4(b), Final Compensation will be paid to the Executive within thirty (30) days following the Termination Date or such shorter period required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Benefits</w:t>
      </w:r>
      <w:r>
        <w:rPr>
          <w:color w:val="000000"/>
          <w:u w:val="single"/>
        </w:rPr>
        <w:t xml:space="preserve"> </w:t>
      </w:r>
      <w:r>
        <w:rPr>
          <w:rFonts w:ascii="Times New Roman" w:hAnsi="Times New Roman"/>
          <w:color w:val="000000"/>
          <w:sz w:val="24"/>
          <w:u w:val="single"/>
        </w:rPr>
        <w:t>upon</w:t>
      </w:r>
      <w:r>
        <w:rPr>
          <w:color w:val="000000"/>
          <w:u w:val="single"/>
        </w:rPr>
        <w:t xml:space="preserve"> </w:t>
      </w:r>
      <w:r>
        <w:rPr>
          <w:rFonts w:ascii="Times New Roman" w:hAnsi="Times New Roman"/>
          <w:color w:val="000000"/>
          <w:sz w:val="24"/>
          <w:u w:val="single"/>
        </w:rPr>
        <w:t>Termination</w:t>
      </w:r>
      <w:r>
        <w:rPr>
          <w:color w:val="000000"/>
          <w:u w:val="single"/>
        </w:rPr>
        <w:t xml:space="preserve"> </w:t>
      </w:r>
      <w:r>
        <w:rPr>
          <w:rFonts w:ascii="Times New Roman" w:hAnsi="Times New Roman"/>
          <w:color w:val="000000"/>
          <w:sz w:val="24"/>
          <w:u w:val="single"/>
        </w:rPr>
        <w:t>by</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Company</w:t>
      </w:r>
      <w:r>
        <w:rPr>
          <w:color w:val="000000"/>
          <w:u w:val="single"/>
        </w:rPr>
        <w:t xml:space="preserve"> </w:t>
      </w:r>
      <w:r>
        <w:rPr>
          <w:rFonts w:ascii="Times New Roman" w:hAnsi="Times New Roman"/>
          <w:color w:val="000000"/>
          <w:sz w:val="24"/>
          <w:u w:val="single"/>
        </w:rPr>
        <w:t>without</w:t>
      </w:r>
      <w:r>
        <w:rPr>
          <w:color w:val="000000"/>
          <w:u w:val="single"/>
        </w:rPr>
        <w:t xml:space="preserve"> </w:t>
      </w:r>
      <w:r>
        <w:rPr>
          <w:rFonts w:ascii="Times New Roman" w:hAnsi="Times New Roman"/>
          <w:color w:val="000000"/>
          <w:sz w:val="24"/>
          <w:u w:val="single"/>
        </w:rPr>
        <w:t>Cause</w:t>
      </w:r>
      <w:r>
        <w:rPr>
          <w:color w:val="000000"/>
          <w:u w:val="single"/>
        </w:rPr>
        <w:t xml:space="preserve"> </w:t>
      </w:r>
      <w:r>
        <w:rPr>
          <w:rFonts w:ascii="Times New Roman" w:hAnsi="Times New Roman"/>
          <w:color w:val="000000"/>
          <w:sz w:val="24"/>
          <w:u w:val="single"/>
        </w:rPr>
        <w:t>or</w:t>
      </w:r>
      <w:r>
        <w:rPr>
          <w:color w:val="000000"/>
          <w:u w:val="single"/>
        </w:rPr>
        <w:t xml:space="preserve"> </w:t>
      </w:r>
      <w:r>
        <w:rPr>
          <w:rFonts w:ascii="Times New Roman" w:hAnsi="Times New Roman"/>
          <w:color w:val="000000"/>
          <w:sz w:val="24"/>
          <w:u w:val="single"/>
        </w:rPr>
        <w:t>by</w:t>
      </w:r>
      <w:r>
        <w:rPr>
          <w:color w:val="000000"/>
        </w:rPr>
        <w:t xml:space="preserve"> </w:t>
      </w:r>
      <w:r>
        <w:rPr>
          <w:rFonts w:ascii="Times New Roman" w:hAnsi="Times New Roman"/>
          <w:color w:val="000000"/>
          <w:sz w:val="24"/>
          <w:u w:val="single"/>
        </w:rPr>
        <w:t>the Executive for Good Reason</w:t>
      </w:r>
      <w:r>
        <w:rPr>
          <w:rFonts w:ascii="Times New Roman" w:hAnsi="Times New Roman"/>
          <w:color w:val="000000"/>
          <w:sz w:val="24"/>
        </w:rPr>
        <w:t>. In the event of any termination of the Executive’s employment by the Company without Cause under Section 3(b) or by the Executive for Good Reason under Section</w:t>
      </w:r>
      <w:r>
        <w:rPr>
          <w:color w:val="000000"/>
        </w:rPr>
        <w:t xml:space="preserve"> </w:t>
      </w:r>
      <w:r>
        <w:rPr>
          <w:rFonts w:ascii="Times New Roman" w:hAnsi="Times New Roman"/>
          <w:color w:val="000000"/>
          <w:sz w:val="24"/>
        </w:rPr>
        <w:t>3(c), then, except as otherwise provided in Section 4(d), the Company will provide to</w:t>
      </w:r>
      <w:r>
        <w:rPr>
          <w:color w:val="000000"/>
        </w:rPr>
        <w:t xml:space="preserve"> </w:t>
      </w:r>
      <w:r>
        <w:rPr>
          <w:rFonts w:ascii="Times New Roman" w:hAnsi="Times New Roman"/>
          <w:color w:val="000000"/>
          <w:sz w:val="24"/>
        </w:rPr>
        <w:t>the Executive, in addition to Final Compensation, the following (the “</w:t>
      </w:r>
      <w:r>
        <w:rPr>
          <w:rFonts w:ascii="Times New Roman" w:hAnsi="Times New Roman"/>
          <w:color w:val="000000"/>
          <w:sz w:val="24"/>
          <w:u w:val="single"/>
        </w:rPr>
        <w:t>Non CIC Severance Benefits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triggered Good Reason) for a period of twelve (12) months following the Termination Date (“</w:t>
      </w:r>
      <w:r>
        <w:rPr>
          <w:rFonts w:ascii="Times New Roman" w:hAnsi="Times New Roman"/>
          <w:color w:val="000000"/>
          <w:sz w:val="24"/>
          <w:u w:val="single"/>
        </w:rPr>
        <w:t>Severance Period</w:t>
      </w:r>
      <w:r>
        <w:rPr>
          <w:color w:val="000000"/>
        </w:rPr>
        <w:t>”</w:t>
      </w:r>
      <w:r>
        <w:rPr>
          <w:rFonts w:ascii="Times New Roman" w:hAnsi="Times New Roman"/>
          <w:color w:val="000000"/>
          <w:sz w:val="24"/>
        </w:rPr>
        <w:t>), payable in substantially equal installments on the Company’s regularly scheduled salary payment dates in conformity with the Company’s general payroll practices as in effect from time to time (the “</w:t>
      </w:r>
      <w:r>
        <w:rPr>
          <w:rFonts w:ascii="Times New Roman" w:hAnsi="Times New Roman"/>
          <w:color w:val="000000"/>
          <w:sz w:val="24"/>
          <w:u w:val="single"/>
        </w:rPr>
        <w:t>Non-CIC Severance Payments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any</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has not yet been paid as of the Termination Date, payable at such time as when such Annual Bonus</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 requirement of continued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a pro-rated Annual Bonus for the fiscal year in which the Termination Date occurs, determined by multiplying (A) the Annual Bonus that would have been due to the Executive for the entire fiscal year had the Executive’s employment not</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fraction,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numerator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that the Executive was employed with the Company during such fiscal year and the denominator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fiscal</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pro-rated 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ordinary</w:t>
      </w:r>
      <w:r>
        <w:rPr>
          <w:color w:val="000000"/>
        </w:rPr>
        <w:t xml:space="preserve"> </w:t>
      </w:r>
      <w:r>
        <w:rPr>
          <w:rFonts w:ascii="Times New Roman" w:hAnsi="Times New Roman"/>
          <w:color w:val="000000"/>
          <w:sz w:val="24"/>
        </w:rPr>
        <w:t>course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2(b);</w:t>
      </w:r>
      <w:r>
        <w:rPr>
          <w:color w:val="000000"/>
        </w:rPr>
        <w:t xml:space="preserve"> </w:t>
      </w:r>
      <w:r>
        <w:rPr>
          <w:rFonts w:ascii="Times New Roman" w:hAnsi="Times New Roman"/>
          <w:color w:val="000000"/>
          <w:sz w:val="24"/>
        </w:rPr>
        <w:t>provided that such payment shall occur no later than March 15 of the year following the year in which the Termination Date occurs;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timely</w:t>
      </w:r>
      <w:r>
        <w:rPr>
          <w:color w:val="000000"/>
        </w:rPr>
        <w:t xml:space="preserve"> </w:t>
      </w:r>
      <w:r>
        <w:rPr>
          <w:rFonts w:ascii="Times New Roman" w:hAnsi="Times New Roman"/>
          <w:color w:val="000000"/>
          <w:sz w:val="24"/>
        </w:rPr>
        <w:t>elects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continue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dependents,</w:t>
      </w:r>
      <w:r>
        <w:rPr>
          <w:color w:val="000000"/>
        </w:rPr>
        <w:t xml:space="preserve"> </w:t>
      </w:r>
      <w:r>
        <w:rPr>
          <w:rFonts w:ascii="Times New Roman" w:hAnsi="Times New Roman"/>
          <w:color w:val="000000"/>
          <w:sz w:val="24"/>
        </w:rPr>
        <w:t>in the Company’s group health plans under the federal law known as “COBRA” or similar state law (together, “</w:t>
      </w:r>
      <w:r>
        <w:rPr>
          <w:rFonts w:ascii="Times New Roman" w:hAnsi="Times New Roman"/>
          <w:color w:val="000000"/>
          <w:sz w:val="24"/>
          <w:u w:val="single"/>
        </w:rPr>
        <w:t>COBRA</w:t>
      </w:r>
      <w:r>
        <w:rPr>
          <w:color w:val="000000"/>
        </w:rPr>
        <w:t>”</w:t>
      </w:r>
      <w:r>
        <w:rPr>
          <w:rFonts w:ascii="Times New Roman" w:hAnsi="Times New Roman"/>
          <w:color w:val="000000"/>
          <w:sz w:val="24"/>
        </w:rPr>
        <w:t>), the Company shall pay the Company’s portion of the contributions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behalf</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 the Executive’s eligible dependents, until the earlier of (A) the date that is twelve (12) months following the Termination Date and (B) the date on which the Executive, and, if applicable, the Executive’s eligible dependents, cease to be eligible for such COBRA coverage under applicable law or plan terms (the “</w:t>
      </w:r>
      <w:r>
        <w:rPr>
          <w:rFonts w:ascii="Times New Roman" w:hAnsi="Times New Roman"/>
          <w:color w:val="000000"/>
          <w:sz w:val="24"/>
          <w:u w:val="single"/>
        </w:rPr>
        <w:t>Health Continuation Benefits</w:t>
      </w:r>
      <w:r>
        <w:rPr>
          <w:color w:val="000000"/>
        </w:rPr>
        <w:t>”</w:t>
      </w:r>
      <w:r>
        <w:rPr>
          <w:rFonts w:ascii="Times New Roman" w:hAnsi="Times New Roman"/>
          <w:color w:val="000000"/>
          <w:sz w:val="24"/>
        </w:rPr>
        <w:t>). The Company’s contribution to the costs of the Health Continuation Benefits shall be determined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contribution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Company-provided</w:t>
      </w:r>
      <w:r>
        <w:rPr>
          <w:color w:val="000000"/>
        </w:rPr>
        <w:t xml:space="preserve"> </w:t>
      </w:r>
      <w:r>
        <w:rPr>
          <w:rFonts w:ascii="Times New Roman" w:hAnsi="Times New Roman"/>
          <w:color w:val="000000"/>
          <w:sz w:val="24"/>
        </w:rPr>
        <w:t>health and dental insurance coverage for an active employee with the same coverage elections, determined as of the Termination Date and without taking into account an employee’s ability to make pre-tax deductions. The Executive shall be responsible for paying the remaining</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premiums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remained employed. The Executive authorizes the deduction of the portion for which the Executive is responsible from the after-tax amount of the Non-CIC Severance Payments or CIC Severance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this Section</w:t>
      </w:r>
      <w:r>
        <w:rPr>
          <w:color w:val="000000"/>
        </w:rPr>
        <w:t xml:space="preserve"> </w:t>
      </w:r>
      <w:r>
        <w:rPr>
          <w:rFonts w:ascii="Times New Roman" w:hAnsi="Times New Roman"/>
          <w:color w:val="000000"/>
          <w:sz w:val="24"/>
        </w:rPr>
        <w:t>4(c)(iv), if the Executive commences new employment and becomes eligible to participate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group</w:t>
      </w:r>
      <w:r>
        <w:rPr>
          <w:color w:val="000000"/>
        </w:rPr>
        <w:t xml:space="preserve"> </w:t>
      </w:r>
      <w:r>
        <w:rPr>
          <w:rFonts w:ascii="Times New Roman" w:hAnsi="Times New Roman"/>
          <w:color w:val="000000"/>
          <w:sz w:val="24"/>
        </w:rPr>
        <w:t>health</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Health Continuation Benefits shall cease (and Executive agrees to promptly notify the Company of such eligibility).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lieu of the payments and benefits set forth 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4(c), in the event of any termination of the Executive’s employment by the Company without Cause under Section 3(b) or by the Executive for Good Reason under Section</w:t>
      </w:r>
      <w:r>
        <w:rPr>
          <w:color w:val="000000"/>
        </w:rPr>
        <w:t xml:space="preserve"> </w:t>
      </w:r>
      <w:r>
        <w:rPr>
          <w:rFonts w:ascii="Times New Roman" w:hAnsi="Times New Roman"/>
          <w:color w:val="000000"/>
          <w:sz w:val="24"/>
        </w:rPr>
        <w:t>3(c),</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beginning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three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months 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twelve (12) months following the date of a Change in Control, the Company will provide to the Executive, in addition to Final Compensation, the following (together with the Non-CIC Severance Benefits, the “</w:t>
      </w:r>
      <w:r>
        <w:rPr>
          <w:rFonts w:ascii="Times New Roman" w:hAnsi="Times New Roman"/>
          <w:color w:val="000000"/>
          <w:sz w:val="24"/>
          <w:u w:val="single"/>
        </w:rPr>
        <w:t>Severance Benefits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an</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sum</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twelve</w:t>
      </w:r>
      <w:r>
        <w:rPr>
          <w:color w:val="000000"/>
        </w:rPr>
        <w:t xml:space="preserve"> </w:t>
      </w:r>
      <w:r>
        <w:rPr>
          <w:rFonts w:ascii="Times New Roman" w:hAnsi="Times New Roman"/>
          <w:color w:val="000000"/>
          <w:sz w:val="24"/>
        </w:rPr>
        <w:t>(12)</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Base Salary (without giving effect to any reduction that triggered Good Reason), and (B) the then-current Target Bonus (the “</w:t>
      </w:r>
      <w:r>
        <w:rPr>
          <w:rFonts w:ascii="Times New Roman" w:hAnsi="Times New Roman"/>
          <w:color w:val="000000"/>
          <w:sz w:val="24"/>
          <w:u w:val="single"/>
        </w:rPr>
        <w:t>CIC Severance Payment</w:t>
      </w:r>
      <w:r>
        <w:rPr>
          <w:color w:val="000000"/>
        </w:rPr>
        <w:t>”</w:t>
      </w:r>
      <w:r>
        <w:rPr>
          <w:rFonts w:ascii="Times New Roman" w:hAnsi="Times New Roman"/>
          <w:color w:val="000000"/>
          <w:sz w:val="24"/>
        </w:rPr>
        <w:t>), payable as set forth in Section 4(e)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4(c)(ii);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4(c)(iv);</w:t>
      </w:r>
      <w:r>
        <w:rPr>
          <w:color w:val="000000"/>
        </w:rPr>
        <w:t xml:space="preserve"> </w:t>
      </w:r>
      <w:r>
        <w:rPr>
          <w:rFonts w:ascii="Times New Roman" w:hAnsi="Times New Roman"/>
          <w:color w:val="000000"/>
          <w:sz w:val="24"/>
        </w:rPr>
        <w:t>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all</w:t>
      </w:r>
      <w:r>
        <w:rPr>
          <w:color w:val="000000"/>
        </w:rPr>
        <w:t xml:space="preserve"> </w:t>
      </w:r>
      <w:r>
        <w:rPr>
          <w:rFonts w:ascii="Times New Roman" w:hAnsi="Times New Roman"/>
          <w:color w:val="000000"/>
          <w:sz w:val="24"/>
        </w:rPr>
        <w:t>unvested</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equity-based</w:t>
      </w:r>
      <w:r>
        <w:rPr>
          <w:color w:val="000000"/>
        </w:rPr>
        <w:t xml:space="preserve"> </w:t>
      </w:r>
      <w:r>
        <w:rPr>
          <w:rFonts w:ascii="Times New Roman" w:hAnsi="Times New Roman"/>
          <w:color w:val="000000"/>
          <w:sz w:val="24"/>
        </w:rPr>
        <w:t>awards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 the passage of time and are then held by the Executive under any Company equity compensation plans shall immediately become 100% vested (with any such awards that vest in whole or in part based on the attainment of performance-vesting conditions being governed by the terms of the applicable award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Conditions</w:t>
      </w:r>
      <w:r>
        <w:rPr>
          <w:color w:val="000000"/>
          <w:u w:val="single"/>
        </w:rPr>
        <w:t xml:space="preserve"> </w:t>
      </w:r>
      <w:r>
        <w:rPr>
          <w:rFonts w:ascii="Times New Roman" w:hAnsi="Times New Roman"/>
          <w:color w:val="000000"/>
          <w:sz w:val="24"/>
          <w:u w:val="single"/>
        </w:rPr>
        <w:t>to</w:t>
      </w:r>
      <w:r>
        <w:rPr>
          <w:color w:val="000000"/>
          <w:u w:val="single"/>
        </w:rPr>
        <w:t xml:space="preserve"> </w:t>
      </w:r>
      <w:r>
        <w:rPr>
          <w:rFonts w:ascii="Times New Roman" w:hAnsi="Times New Roman"/>
          <w:color w:val="000000"/>
          <w:sz w:val="24"/>
          <w:u w:val="single"/>
        </w:rPr>
        <w:t>and</w:t>
      </w:r>
      <w:r>
        <w:rPr>
          <w:color w:val="000000"/>
          <w:u w:val="single"/>
        </w:rPr>
        <w:t xml:space="preserve"> </w:t>
      </w:r>
      <w:r>
        <w:rPr>
          <w:rFonts w:ascii="Times New Roman" w:hAnsi="Times New Roman"/>
          <w:color w:val="000000"/>
          <w:sz w:val="24"/>
          <w:u w:val="single"/>
        </w:rPr>
        <w:t>Timing</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the</w:t>
      </w:r>
      <w:r>
        <w:rPr>
          <w:color w:val="000000"/>
          <w:u w:val="single"/>
        </w:rPr>
        <w:t xml:space="preserve"> </w:t>
      </w:r>
      <w:r>
        <w:rPr>
          <w:rFonts w:ascii="Times New Roman" w:hAnsi="Times New Roman"/>
          <w:color w:val="000000"/>
          <w:sz w:val="24"/>
          <w:u w:val="single"/>
        </w:rPr>
        <w:t>Severance</w:t>
      </w:r>
      <w:r>
        <w:rPr>
          <w:color w:val="000000"/>
          <w:u w:val="single"/>
        </w:rPr>
        <w:t xml:space="preserve"> </w:t>
      </w:r>
      <w:r>
        <w:rPr>
          <w:rFonts w:ascii="Times New Roman" w:hAnsi="Times New Roman"/>
          <w:color w:val="000000"/>
          <w:sz w:val="24"/>
          <w:u w:val="single"/>
        </w:rPr>
        <w:t>Benefits</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obligation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Company to provide the Severance Benefits to the Executive is conditioned on the Executive’s signing and returning to the Company, without subsequently revoking, a timely and effective separation agreement, containing a general release of claims, a reaffirmation of the Executive’s obligations under the applicable Restrictive Covenant Agreement and other customary terms, in substantially the form attached hereto as</w:t>
      </w:r>
      <w:r>
        <w:rPr>
          <w:color w:val="000000"/>
        </w:rPr>
        <w:t xml:space="preserve">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(the “</w:t>
      </w:r>
      <w:r>
        <w:rPr>
          <w:rFonts w:ascii="Times New Roman" w:hAnsi="Times New Roman"/>
          <w:color w:val="000000"/>
          <w:sz w:val="24"/>
          <w:u w:val="single"/>
        </w:rPr>
        <w:t>Separation Agreement</w:t>
      </w:r>
      <w:r>
        <w:rPr>
          <w:color w:val="000000"/>
        </w:rPr>
        <w:t>”</w:t>
      </w:r>
      <w:r>
        <w:rPr>
          <w:rFonts w:ascii="Times New Roman" w:hAnsi="Times New Roman"/>
          <w:color w:val="000000"/>
          <w:sz w:val="24"/>
        </w:rPr>
        <w:t>). The Executive must return to the Company and not revoke the Separation Agreement within the time period required by the Separation Agreement, and in any event, the Separation Agreement must become effective and irrevocable, if at all, by the sixtieth (60</w:t>
      </w:r>
      <w:r>
        <w:rPr>
          <w:rFonts w:ascii="Times New Roman" w:hAnsi="Times New Roman"/>
          <w:color w:val="000000"/>
          <w:sz w:val="16"/>
        </w:rPr>
        <w:t>th</w:t>
      </w:r>
      <w:r>
        <w:rPr>
          <w:rFonts w:ascii="Times New Roman" w:hAnsi="Times New Roman"/>
          <w:color w:val="000000"/>
          <w:sz w:val="24"/>
        </w:rPr>
        <w:t>) day following the Termination Date (with the 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Separation</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becomes</w:t>
      </w:r>
      <w:r>
        <w:rPr>
          <w:color w:val="000000"/>
        </w:rPr>
        <w:t xml:space="preserve"> </w:t>
      </w:r>
      <w:r>
        <w:rPr>
          <w:rFonts w:ascii="Times New Roman" w:hAnsi="Times New Roman"/>
          <w:color w:val="000000"/>
          <w:sz w:val="24"/>
        </w:rPr>
        <w:t>effective,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Release</w:t>
      </w:r>
      <w:r>
        <w:rPr>
          <w:color w:val="000000"/>
          <w:u w:val="single"/>
        </w:rPr>
        <w:t xml:space="preserve"> </w:t>
      </w:r>
      <w:r>
        <w:rPr>
          <w:rFonts w:ascii="Times New Roman" w:hAnsi="Times New Roman"/>
          <w:color w:val="000000"/>
          <w:sz w:val="24"/>
          <w:u w:val="single"/>
        </w:rPr>
        <w:t>Effective</w:t>
      </w:r>
      <w:r>
        <w:rPr>
          <w:color w:val="000000"/>
          <w:u w:val="single"/>
        </w:rPr>
        <w:t xml:space="preserve"> </w:t>
      </w:r>
      <w:r>
        <w:rPr>
          <w:rFonts w:ascii="Times New Roman" w:hAnsi="Times New Roman"/>
          <w:color w:val="000000"/>
          <w:sz w:val="24"/>
          <w:u w:val="single"/>
        </w:rPr>
        <w:t>Date</w:t>
      </w:r>
      <w:r>
        <w:rPr>
          <w:color w:val="000000"/>
        </w:rPr>
        <w:t>”</w:t>
      </w:r>
      <w:r>
        <w:rPr>
          <w:rFonts w:ascii="Times New Roman" w:hAnsi="Times New Roman"/>
          <w:color w:val="000000"/>
          <w:sz w:val="24"/>
        </w:rPr>
        <w:t>). The first Non-CIC Severance Payment, if applicable, will be made within sixty (60) days after the Termination Date, on the first regularly scheduled payroll date of the Company that occurs following the Release Effective Date. The CIC Severance Payment, if applicable, will be paid in a single lump sum within sixty (60) days following the later of the Termination Date and the date of the Change in Control. Notwithstanding the foregoing, if the sixty (60)-day period begins in one calendar year and ends in a second calendar year, the Non-CIC Severance Payments or the CIC Severance Payments, as 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extent</w:t>
      </w:r>
      <w:r>
        <w:rPr>
          <w:color w:val="000000"/>
        </w:rPr>
        <w:t xml:space="preserve"> </w:t>
      </w:r>
      <w:r>
        <w:rPr>
          <w:rFonts w:ascii="Times New Roman" w:hAnsi="Times New Roman"/>
          <w:color w:val="000000"/>
          <w:sz w:val="24"/>
        </w:rPr>
        <w:t>they qualify</w:t>
      </w:r>
      <w:r>
        <w:rPr>
          <w:color w:val="000000"/>
        </w:rPr>
        <w:t xml:space="preserve"> </w:t>
      </w:r>
      <w:r>
        <w:rPr>
          <w:rFonts w:ascii="Times New Roman" w:hAnsi="Times New Roman"/>
          <w:color w:val="000000"/>
          <w:sz w:val="24"/>
        </w:rPr>
        <w:t>as “non-qualified</w:t>
      </w:r>
      <w:r>
        <w:rPr>
          <w:color w:val="000000"/>
        </w:rPr>
        <w:t xml:space="preserve"> </w:t>
      </w:r>
      <w:r>
        <w:rPr>
          <w:rFonts w:ascii="Times New Roman" w:hAnsi="Times New Roman"/>
          <w:color w:val="000000"/>
          <w:sz w:val="24"/>
        </w:rPr>
        <w:t>deferred</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 meaning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second</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and provided, further, that the initial Non-CIC Severance Payment shall include a catch-up payment to cover amounts retroactive to the day following the Termination Date. If the 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three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month</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Change 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Non-CIC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 Section</w:t>
      </w:r>
      <w:r>
        <w:rPr>
          <w:color w:val="000000"/>
        </w:rPr>
        <w:t xml:space="preserve"> </w:t>
      </w:r>
      <w:r>
        <w:rPr>
          <w:rFonts w:ascii="Times New Roman" w:hAnsi="Times New Roman"/>
          <w:color w:val="000000"/>
          <w:sz w:val="24"/>
        </w:rPr>
        <w:t>4(c)(i)</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4(d)(i)</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CIC</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 that exceed what Executive received as a Non-CIC Severance Payment will be paid in a lump</w:t>
      </w:r>
      <w:r>
        <w:rPr>
          <w:color w:val="000000"/>
        </w:rPr>
        <w:t xml:space="preserve"> </w:t>
      </w:r>
      <w:r>
        <w:rPr>
          <w:rFonts w:ascii="Times New Roman" w:hAnsi="Times New Roman"/>
          <w:color w:val="000000"/>
          <w:sz w:val="24"/>
        </w:rPr>
        <w:t>sum</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sixty</w:t>
      </w:r>
      <w:r>
        <w:rPr>
          <w:color w:val="000000"/>
        </w:rPr>
        <w:t xml:space="preserve"> </w:t>
      </w:r>
      <w:r>
        <w:rPr>
          <w:rFonts w:ascii="Times New Roman" w:hAnsi="Times New Roman"/>
          <w:color w:val="000000"/>
          <w:sz w:val="24"/>
        </w:rPr>
        <w:t>(60)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ten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after the date of the Change in Control. Notwithstanding the foregoing, in the event that the Company’s payment of the Health Continuation Benefits would subject the Company or the Executive to any tax or penalty under Section 105(h)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the Patient Protection and Affordable Care Act, as amended, any regulations or guidance issued thereunder, or any other applicable law, in each case, as determined by the Company, the Executive and the Company shall work together in good faith to restructure such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Benefits Termination</w:t>
      </w:r>
      <w:r>
        <w:rPr>
          <w:rFonts w:ascii="Times New Roman" w:hAnsi="Times New Roman"/>
          <w:color w:val="000000"/>
          <w:sz w:val="24"/>
        </w:rPr>
        <w:t>. Except for any right the Executive may have under COBRA or other applicable law to continue participation in the Company’s group health and</w:t>
      </w:r>
      <w:r>
        <w:rPr>
          <w:color w:val="000000"/>
        </w:rPr>
        <w:t xml:space="preserve"> </w:t>
      </w:r>
      <w:r>
        <w:rPr>
          <w:rFonts w:ascii="Times New Roman" w:hAnsi="Times New Roman"/>
          <w:color w:val="000000"/>
          <w:sz w:val="24"/>
        </w:rPr>
        <w:t>dental</w:t>
      </w:r>
      <w:r>
        <w:rPr>
          <w:color w:val="000000"/>
        </w:rPr>
        <w:t xml:space="preserve"> </w:t>
      </w:r>
      <w:r>
        <w:rPr>
          <w:rFonts w:ascii="Times New Roman" w:hAnsi="Times New Roman"/>
          <w:color w:val="000000"/>
          <w:sz w:val="24"/>
        </w:rPr>
        <w:t>plans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cost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 Section</w:t>
      </w:r>
      <w:r>
        <w:rPr>
          <w:color w:val="000000"/>
        </w:rPr>
        <w:t xml:space="preserve"> </w:t>
      </w:r>
      <w:r>
        <w:rPr>
          <w:rFonts w:ascii="Times New Roman" w:hAnsi="Times New Roman"/>
          <w:color w:val="000000"/>
          <w:sz w:val="24"/>
        </w:rPr>
        <w:t>4(c)(iv) or Section</w:t>
      </w:r>
      <w:r>
        <w:rPr>
          <w:color w:val="000000"/>
        </w:rPr>
        <w:t xml:space="preserve"> </w:t>
      </w:r>
      <w:r>
        <w:rPr>
          <w:rFonts w:ascii="Times New Roman" w:hAnsi="Times New Roman"/>
          <w:color w:val="000000"/>
          <w:sz w:val="24"/>
        </w:rPr>
        <w:t>4(d)(iii) of this Agreement, the Executive’s participation in all employee benefit plans shall terminate in accordance with the terms of the applicable benefit plans based on the Termination Date, without regard to any continuation of the Base Salary or other payment to the Executive following termination of the Executive’s employment, and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 not be</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PTO</w:t>
      </w:r>
      <w:r>
        <w:rPr>
          <w:color w:val="000000"/>
        </w:rPr>
        <w:t xml:space="preserve"> </w:t>
      </w:r>
      <w:r>
        <w:rPr>
          <w:rFonts w:ascii="Times New Roman" w:hAnsi="Times New Roman"/>
          <w:color w:val="000000"/>
          <w:sz w:val="24"/>
        </w:rPr>
        <w:t>following the</w:t>
      </w:r>
      <w:r>
        <w:rPr>
          <w:color w:val="000000"/>
        </w:rPr>
        <w:t xml:space="preserve"> </w:t>
      </w:r>
      <w:r>
        <w:rPr>
          <w:rFonts w:ascii="Times New Roman" w:hAnsi="Times New Roman"/>
          <w:color w:val="000000"/>
          <w:sz w:val="24"/>
        </w:rPr>
        <w:t>termination of the Executive’s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Survival</w:t>
      </w:r>
      <w:r>
        <w:rPr>
          <w:rFonts w:ascii="Times New Roman" w:hAnsi="Times New Roman"/>
          <w:color w:val="000000"/>
          <w:sz w:val="24"/>
        </w:rPr>
        <w:t xml:space="preserve">. Provisions of this Agreement shall survive any termination of employment if so provided in this Agreement or if necessary or desirable to accomplish the purposes of other surviving provisions, including, without limitation, the Executive’s obligations under the applicable Restrictive Covenant Agreement and the Company’s obligations under Section 4. The obligation of the Company to make payments to the Executive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under Section</w:t>
      </w:r>
      <w:r>
        <w:rPr>
          <w:color w:val="000000"/>
        </w:rPr>
        <w:t xml:space="preserve"> </w:t>
      </w:r>
      <w:r>
        <w:rPr>
          <w:rFonts w:ascii="Times New Roman" w:hAnsi="Times New Roman"/>
          <w:color w:val="000000"/>
          <w:sz w:val="24"/>
        </w:rPr>
        <w:t>4 are expressly conditioned upon the Executive’s continued 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arrangement</w:t>
      </w:r>
      <w:r>
        <w:rPr>
          <w:color w:val="000000"/>
        </w:rPr>
        <w:t xml:space="preserve"> </w:t>
      </w:r>
      <w:r>
        <w:rPr>
          <w:rFonts w:ascii="Times New Roman" w:hAnsi="Times New Roman"/>
          <w:color w:val="000000"/>
          <w:sz w:val="24"/>
        </w:rPr>
        <w:t>subjecting the Executive to restrictive covenants, including, without limitation any such agreement appended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(collectively,</w:t>
      </w:r>
      <w:r>
        <w:rPr>
          <w:color w:val="000000"/>
        </w:rPr>
        <w:t xml:space="preserve"> “</w:t>
      </w:r>
      <w:r>
        <w:rPr>
          <w:rFonts w:ascii="Times New Roman" w:hAnsi="Times New Roman"/>
          <w:color w:val="000000"/>
          <w:sz w:val="24"/>
          <w:u w:val="single"/>
        </w:rPr>
        <w:t>Restrictive</w:t>
      </w:r>
      <w:r>
        <w:rPr>
          <w:color w:val="000000"/>
          <w:u w:val="single"/>
        </w:rPr>
        <w:t xml:space="preserve"> </w:t>
      </w:r>
      <w:r>
        <w:rPr>
          <w:rFonts w:ascii="Times New Roman" w:hAnsi="Times New Roman"/>
          <w:color w:val="000000"/>
          <w:sz w:val="24"/>
          <w:u w:val="single"/>
        </w:rPr>
        <w:t>Covenant</w:t>
      </w:r>
      <w:r>
        <w:rPr>
          <w:color w:val="000000"/>
          <w:u w:val="single"/>
        </w:rPr>
        <w:t xml:space="preserve"> </w:t>
      </w:r>
      <w:r>
        <w:rPr>
          <w:rFonts w:ascii="Times New Roman" w:hAnsi="Times New Roman"/>
          <w:color w:val="000000"/>
          <w:sz w:val="24"/>
          <w:u w:val="single"/>
        </w:rPr>
        <w:t>Agreement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Executive acknowledges that Executive remains bound by the Restrictive Covenant Agreement, which is incorporated by reference herein. Upon termination of employment by</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cease,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 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Restrictive</w:t>
      </w:r>
      <w:r>
        <w:rPr>
          <w:color w:val="000000"/>
        </w:rPr>
        <w:t xml:space="preserve"> </w:t>
      </w:r>
      <w:r>
        <w:rPr>
          <w:rFonts w:ascii="Times New Roman" w:hAnsi="Times New Roman"/>
          <w:color w:val="000000"/>
          <w:sz w:val="24"/>
        </w:rPr>
        <w:t>Covenant</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Equity</w:t>
      </w:r>
      <w:r>
        <w:rPr>
          <w:color w:val="000000"/>
        </w:rPr>
        <w:t xml:space="preserve"> </w:t>
      </w:r>
      <w:r>
        <w:rPr>
          <w:rFonts w:ascii="Times New Roman" w:hAnsi="Times New Roman"/>
          <w:color w:val="000000"/>
          <w:sz w:val="24"/>
        </w:rPr>
        <w:t>Documents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if applicable, the Separation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Deemed</w:t>
      </w:r>
      <w:r>
        <w:rPr>
          <w:color w:val="000000"/>
          <w:u w:val="single"/>
        </w:rPr>
        <w:t xml:space="preserve"> </w:t>
      </w:r>
      <w:r>
        <w:rPr>
          <w:rFonts w:ascii="Times New Roman" w:hAnsi="Times New Roman"/>
          <w:color w:val="000000"/>
          <w:sz w:val="24"/>
          <w:u w:val="single"/>
        </w:rPr>
        <w:t>Resignation</w:t>
      </w:r>
      <w:r>
        <w:rPr>
          <w:rFonts w:ascii="Times New Roman" w:hAnsi="Times New Roman"/>
          <w:color w:val="000000"/>
          <w:sz w:val="24"/>
        </w:rPr>
        <w:t>.</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any reason, Executive shall be deemed to have resigned from all offices and directorships, if any,</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held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subsidiaries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affiliates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agrees to execute any documentation (including, without limitation, resignation letters) reasonably requested by the Company to document any such resignation.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pPr>
      <w:r>
        <w:rPr>
          <w:rFonts w:ascii="Times New Roman" w:hAnsi="Times New Roman"/>
          <w:b/>
          <w:color w:val="000000"/>
          <w:sz w:val="24"/>
        </w:rPr>
        <w:t>Timing</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Payments</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Section</w:t>
      </w:r>
      <w:r>
        <w:rPr>
          <w:color w:val="000000"/>
        </w:rPr>
        <w:t xml:space="preserve"> </w:t>
      </w:r>
      <w:r>
        <w:rPr>
          <w:rFonts w:ascii="Times New Roman" w:hAnsi="Times New Roman"/>
          <w:b/>
          <w:color w:val="000000"/>
          <w:sz w:val="24"/>
        </w:rPr>
        <w:t>409A</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intended to</w:t>
      </w:r>
      <w:r>
        <w:rPr>
          <w:color w:val="000000"/>
        </w:rPr>
        <w:t xml:space="preserve"> </w:t>
      </w:r>
      <w:r>
        <w:rPr>
          <w:rFonts w:ascii="Times New Roman" w:hAnsi="Times New Roman"/>
          <w:color w:val="000000"/>
          <w:sz w:val="24"/>
        </w:rPr>
        <w:t>comply</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exempt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amended,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Treasury Regulations and other guidance promulgated thereunder (collectively, “</w:t>
      </w:r>
      <w:r>
        <w:rPr>
          <w:rFonts w:ascii="Times New Roman" w:hAnsi="Times New Roman"/>
          <w:color w:val="000000"/>
          <w:sz w:val="24"/>
          <w:u w:val="single"/>
        </w:rPr>
        <w:t>Section</w:t>
      </w:r>
      <w:r>
        <w:rPr>
          <w:color w:val="000000"/>
          <w:u w:val="single"/>
        </w:rPr>
        <w:t xml:space="preserve"> </w:t>
      </w:r>
      <w:r>
        <w:rPr>
          <w:rFonts w:ascii="Times New Roman" w:hAnsi="Times New Roman"/>
          <w:color w:val="000000"/>
          <w:sz w:val="24"/>
          <w:u w:val="single"/>
        </w:rPr>
        <w:t>409A</w:t>
      </w:r>
      <w:r>
        <w:rPr>
          <w:color w:val="000000"/>
        </w:rPr>
        <w:t>”</w:t>
      </w:r>
      <w:r>
        <w:rPr>
          <w:rFonts w:ascii="Times New Roman" w:hAnsi="Times New Roman"/>
          <w:color w:val="000000"/>
          <w:sz w:val="24"/>
        </w:rPr>
        <w:t>), and shall be interpreted and construed in accordance with such intent.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Notwithstanding anything to the contrary in this Agreement, if, as of the Termination Date, the Executive is a “specified employee,” as defined below, any and all amounts payable under this Agreement on account of such separation from service that would</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six</w:t>
      </w:r>
      <w:r>
        <w:rPr>
          <w:color w:val="000000"/>
        </w:rPr>
        <w:t xml:space="preserve"> </w:t>
      </w:r>
      <w:r>
        <w:rPr>
          <w:rFonts w:ascii="Times New Roman" w:hAnsi="Times New Roman"/>
          <w:color w:val="000000"/>
          <w:sz w:val="24"/>
        </w:rPr>
        <w:t>(6)</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 Date shall instead be paid on the next business day following the expiration of such six (6)-month period or, if earlier, upon the Executive’s death, except (i) to the extent of amounts that do not constitute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deferral of</w:t>
      </w:r>
      <w:r>
        <w:rPr>
          <w:color w:val="000000"/>
        </w:rPr>
        <w:t xml:space="preserve"> </w:t>
      </w:r>
      <w:r>
        <w:rPr>
          <w:rFonts w:ascii="Times New Roman" w:hAnsi="Times New Roman"/>
          <w:color w:val="000000"/>
          <w:sz w:val="24"/>
        </w:rPr>
        <w:t>compensation within the</w:t>
      </w:r>
      <w:r>
        <w:rPr>
          <w:color w:val="000000"/>
        </w:rPr>
        <w:t xml:space="preserve"> </w:t>
      </w:r>
      <w:r>
        <w:rPr>
          <w:rFonts w:ascii="Times New Roman" w:hAnsi="Times New Roman"/>
          <w:color w:val="000000"/>
          <w:sz w:val="24"/>
        </w:rPr>
        <w:t>meaning of</w:t>
      </w:r>
      <w:r>
        <w:rPr>
          <w:color w:val="000000"/>
        </w:rPr>
        <w:t xml:space="preserve"> </w:t>
      </w:r>
      <w:r>
        <w:rPr>
          <w:rFonts w:ascii="Times New Roman" w:hAnsi="Times New Roman"/>
          <w:color w:val="000000"/>
          <w:sz w:val="24"/>
        </w:rPr>
        <w:t>Treasury 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1.409A-1(b)</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limitation,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safe</w:t>
      </w:r>
      <w:r>
        <w:rPr>
          <w:color w:val="000000"/>
        </w:rPr>
        <w:t xml:space="preserve"> </w:t>
      </w:r>
      <w:r>
        <w:rPr>
          <w:rFonts w:ascii="Times New Roman" w:hAnsi="Times New Roman"/>
          <w:color w:val="000000"/>
          <w:sz w:val="24"/>
        </w:rPr>
        <w:t>harbor set forth in Treasury Regulation Section 1.409A-1(b)(9)(iii), as determined by the Company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faith</w:t>
      </w:r>
      <w:r>
        <w:rPr>
          <w:color w:val="000000"/>
        </w:rPr>
        <w:t xml:space="preserve"> </w:t>
      </w:r>
      <w:r>
        <w:rPr>
          <w:rFonts w:ascii="Times New Roman" w:hAnsi="Times New Roman"/>
          <w:color w:val="000000"/>
          <w:sz w:val="24"/>
        </w:rPr>
        <w:t>discretion);</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qualify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excepted welfare</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w:t>
      </w:r>
      <w:r>
        <w:rPr>
          <w:color w:val="000000"/>
        </w:rPr>
        <w:t xml:space="preserve"> </w:t>
      </w:r>
      <w:r>
        <w:rPr>
          <w:rFonts w:ascii="Times New Roman" w:hAnsi="Times New Roman"/>
          <w:color w:val="000000"/>
          <w:sz w:val="24"/>
        </w:rPr>
        <w:t>Section 1.409A-1(a)(5);</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other amounts or benefits that are not subject to the requirements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For purposes of this Agreement, all references to “termination of employment” and correlative phrases shall be construed to require a “separation from service”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1.409A-1(h)</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effect to the presumptions contained therein), and the term “specified employee” means an individual determined by the Company to be a specified employee under Treasury Regulation Section 1.409A-1(i).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payment made under this Agreement shall be treated as a separate payment, and the right to a series of installment payments under this Agreement is to be treated as a right to a series of separate payments.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In no event shall the Company or any Person affiliated with the Company have any liability relating to the</w:t>
      </w:r>
      <w:r>
        <w:rPr>
          <w:color w:val="000000"/>
        </w:rPr>
        <w:t xml:space="preserve"> </w:t>
      </w:r>
      <w:r>
        <w:rPr>
          <w:rFonts w:ascii="Times New Roman" w:hAnsi="Times New Roman"/>
          <w:color w:val="000000"/>
          <w:sz w:val="24"/>
        </w:rPr>
        <w:t>failure or alleged failure of any payment or</w:t>
      </w:r>
      <w:r>
        <w:rPr>
          <w:color w:val="000000"/>
        </w:rPr>
        <w:t xml:space="preserve"> </w:t>
      </w:r>
      <w:r>
        <w:rPr>
          <w:rFonts w:ascii="Times New Roman" w:hAnsi="Times New Roman"/>
          <w:color w:val="000000"/>
          <w:sz w:val="24"/>
        </w:rPr>
        <w:t>benefit under this Agreement to comply with, or be exempt from, the requirements of Section 409A.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pPr>
      <w:r>
        <w:rPr>
          <w:rFonts w:ascii="Times New Roman" w:hAnsi="Times New Roman"/>
          <w:b/>
          <w:color w:val="000000"/>
          <w:sz w:val="24"/>
        </w:rPr>
        <w:t>Definitions</w:t>
      </w:r>
      <w:r>
        <w:rPr>
          <w:rFonts w:ascii="Times New Roman" w:hAnsi="Times New Roman"/>
          <w:color w:val="000000"/>
          <w:sz w:val="24"/>
        </w:rPr>
        <w: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definitions</w:t>
      </w:r>
      <w:r>
        <w:rPr>
          <w:color w:val="000000"/>
        </w:rPr>
        <w:t xml:space="preserve"> </w:t>
      </w:r>
      <w:r>
        <w:rPr>
          <w:rFonts w:ascii="Times New Roman" w:hAnsi="Times New Roman"/>
          <w:color w:val="000000"/>
          <w:sz w:val="24"/>
        </w:rPr>
        <w:t>apply:</w:t>
      </w:r>
    </w:p>
    <w:p>
      <w:pPr>
        <w:pStyle w:val="TextBody"/>
        <w:bidi w:val="0"/>
        <w:spacing w:before="240" w:after="283"/>
        <w:jc w:val="both"/>
        <w:rPr/>
      </w:pPr>
      <w:r>
        <w:rPr>
          <w:color w:val="000000"/>
        </w:rPr>
        <w:t>“</w:t>
      </w:r>
      <w:r>
        <w:rPr>
          <w:rFonts w:ascii="Times New Roman" w:hAnsi="Times New Roman"/>
          <w:color w:val="000000"/>
          <w:sz w:val="24"/>
          <w:u w:val="single"/>
        </w:rPr>
        <w:t>Affiliates</w:t>
      </w:r>
      <w:r>
        <w:rPr>
          <w:rFonts w:ascii="Times New Roman" w:hAnsi="Times New Roman"/>
          <w:color w:val="000000"/>
          <w:sz w:val="20"/>
        </w:rPr>
        <w:t xml:space="preserve">” </w:t>
      </w:r>
      <w:r>
        <w:rPr>
          <w:rFonts w:ascii="Times New Roman" w:hAnsi="Times New Roman"/>
          <w:color w:val="000000"/>
          <w:sz w:val="24"/>
        </w:rPr>
        <w:t>means all Persons directly or indirectly controlling, controlled by or under</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management</w:t>
      </w:r>
      <w:r>
        <w:rPr>
          <w:rFonts w:ascii="Times New Roman" w:hAnsi="Times New Roman"/>
          <w:color w:val="000000"/>
          <w:sz w:val="20"/>
        </w:rPr>
        <w:t xml:space="preserve"> </w:t>
      </w:r>
      <w:r>
        <w:rPr>
          <w:rFonts w:ascii="Times New Roman" w:hAnsi="Times New Roman"/>
          <w:color w:val="000000"/>
          <w:sz w:val="24"/>
        </w:rPr>
        <w:t>authority, equity interest or otherwise.</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has the meaning set forth in the Company’s 2026 Incentive Award Plan, as in effect on the Effective Date; provided that, if a Change in Control constitutes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 409A, to the extent required to avoid the imposition of additional taxes under Section 409A, the transaction or event described in the Change in Control definition shall only constitute a Change in Control for purposes of the payment timing of such payment or benefit if such transaction also constitutes a “change in control event,” as defined in Treasury Regulation Section 1.409A-3(i)(5).</w:t>
      </w:r>
    </w:p>
    <w:p>
      <w:pPr>
        <w:pStyle w:val="TextBody"/>
        <w:bidi w:val="0"/>
        <w:spacing w:before="240" w:after="283"/>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corporation, a limited liability company, an association, a partnership, an estate, a trust or any other entity or organization.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pPr>
      <w:r>
        <w:rPr>
          <w:rFonts w:ascii="Times New Roman" w:hAnsi="Times New Roman"/>
          <w:b/>
          <w:color w:val="000000"/>
          <w:sz w:val="24"/>
        </w:rPr>
        <w:t>Conflicting Agreements</w:t>
      </w:r>
      <w:r>
        <w:rPr>
          <w:rFonts w:ascii="Times New Roman" w:hAnsi="Times New Roman"/>
          <w:color w:val="000000"/>
          <w:sz w:val="24"/>
        </w:rPr>
        <w:t>. The Executive hereby represents and warrants that the Executive’s</w:t>
      </w:r>
      <w:r>
        <w:rPr>
          <w:color w:val="000000"/>
        </w:rPr>
        <w:t xml:space="preserve"> </w:t>
      </w:r>
      <w:r>
        <w:rPr>
          <w:rFonts w:ascii="Times New Roman" w:hAnsi="Times New Roman"/>
          <w:color w:val="000000"/>
          <w:sz w:val="24"/>
        </w:rPr>
        <w:t>signing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obligations under</w:t>
      </w:r>
      <w:r>
        <w:rPr>
          <w:color w:val="000000"/>
        </w:rPr>
        <w:t xml:space="preserve"> </w:t>
      </w:r>
      <w:r>
        <w:rPr>
          <w:rFonts w:ascii="Times New Roman" w:hAnsi="Times New Roman"/>
          <w:color w:val="000000"/>
          <w:sz w:val="24"/>
        </w:rPr>
        <w:t>this Agreement will not breach or be in conflict with any other</w:t>
      </w:r>
      <w:r>
        <w:rPr>
          <w:color w:val="000000"/>
        </w:rPr>
        <w:t xml:space="preserve"> </w:t>
      </w:r>
      <w:r>
        <w:rPr>
          <w:rFonts w:ascii="Times New Roman" w:hAnsi="Times New Roman"/>
          <w:color w:val="000000"/>
          <w:sz w:val="24"/>
        </w:rPr>
        <w:t>lawful</w:t>
      </w:r>
      <w:r>
        <w:rPr>
          <w:color w:val="000000"/>
        </w:rPr>
        <w:t xml:space="preserve"> </w:t>
      </w:r>
      <w:r>
        <w:rPr>
          <w:rFonts w:ascii="Times New Roman" w:hAnsi="Times New Roman"/>
          <w:color w:val="000000"/>
          <w:sz w:val="24"/>
        </w:rPr>
        <w:t>agreement to 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now</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lawful</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against</w:t>
      </w:r>
      <w:r>
        <w:rPr>
          <w:color w:val="000000"/>
        </w:rPr>
        <w:t xml:space="preserve"> </w:t>
      </w:r>
      <w:r>
        <w:rPr>
          <w:rFonts w:ascii="Times New Roman" w:hAnsi="Times New Roman"/>
          <w:color w:val="000000"/>
          <w:sz w:val="24"/>
        </w:rPr>
        <w:t>competition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similar</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 court order that could affect the performance of the Executive’s obligations under this Agreement. The Executive agrees that the Executive will not disclose to or use on behalf of the Company any confidential or proprietary information of a third party without that party’s consent and will recuse Executive from any situation which may compromise Executive’s obligation to strictly safeguard confidential information of third parties and prevent</w:t>
      </w:r>
      <w:r>
        <w:rPr>
          <w:color w:val="000000"/>
        </w:rPr>
        <w:t xml:space="preserve"> </w:t>
      </w:r>
      <w:r>
        <w:rPr>
          <w:rFonts w:ascii="Times New Roman" w:hAnsi="Times New Roman"/>
          <w:color w:val="000000"/>
          <w:sz w:val="24"/>
        </w:rPr>
        <w:t>unauthorized</w:t>
      </w:r>
      <w:r>
        <w:rPr>
          <w:color w:val="000000"/>
        </w:rPr>
        <w:t xml:space="preserve"> </w:t>
      </w:r>
      <w:r>
        <w:rPr>
          <w:rFonts w:ascii="Times New Roman" w:hAnsi="Times New Roman"/>
          <w:color w:val="000000"/>
          <w:sz w:val="24"/>
        </w:rPr>
        <w:t>disclosure.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 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use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addition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Company’s confidential information, proprietary information and trade secrets, only information which is generally known and used by persons with training and experience comparable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own,</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knowledge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industry,</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legally in the</w:t>
      </w:r>
      <w:r>
        <w:rPr>
          <w:color w:val="000000"/>
        </w:rPr>
        <w:t xml:space="preserve"> </w:t>
      </w:r>
      <w:r>
        <w:rPr>
          <w:rFonts w:ascii="Times New Roman" w:hAnsi="Times New Roman"/>
          <w:color w:val="000000"/>
          <w:sz w:val="24"/>
        </w:rPr>
        <w:t>public</w:t>
      </w:r>
      <w:r>
        <w:rPr>
          <w:color w:val="000000"/>
        </w:rPr>
        <w:t xml:space="preserve"> </w:t>
      </w:r>
      <w:r>
        <w:rPr>
          <w:rFonts w:ascii="Times New Roman" w:hAnsi="Times New Roman"/>
          <w:color w:val="000000"/>
          <w:sz w:val="24"/>
        </w:rPr>
        <w:t>domain or</w:t>
      </w:r>
      <w:r>
        <w:rPr>
          <w:color w:val="000000"/>
        </w:rPr>
        <w:t xml:space="preserve"> </w:t>
      </w:r>
      <w:r>
        <w:rPr>
          <w:rFonts w:ascii="Times New Roman" w:hAnsi="Times New Roman"/>
          <w:color w:val="000000"/>
          <w:sz w:val="24"/>
        </w:rPr>
        <w:t>obtained or</w:t>
      </w:r>
      <w:r>
        <w:rPr>
          <w:color w:val="000000"/>
        </w:rPr>
        <w:t xml:space="preserve"> </w:t>
      </w:r>
      <w:r>
        <w:rPr>
          <w:rFonts w:ascii="Times New Roman" w:hAnsi="Times New Roman"/>
          <w:color w:val="000000"/>
          <w:sz w:val="24"/>
        </w:rPr>
        <w:t>developed</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in the course of the Executive’s work for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pPr>
      <w:r>
        <w:rPr>
          <w:rFonts w:ascii="Times New Roman" w:hAnsi="Times New Roman"/>
          <w:b/>
          <w:color w:val="000000"/>
          <w:sz w:val="24"/>
        </w:rPr>
        <w:t>Withholding</w:t>
      </w:r>
      <w:r>
        <w:rPr>
          <w:rFonts w:ascii="Times New Roman" w:hAnsi="Times New Roman"/>
          <w:color w:val="000000"/>
          <w:sz w:val="24"/>
        </w:rPr>
        <w:t>. All payments made by the Company or any Affiliate under this Agreement or otherwise shall be reduced by any tax or other amounts required to be withheld by the Company or any Affiliate to the extent required by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pPr>
      <w:r>
        <w:rPr>
          <w:rFonts w:ascii="Times New Roman" w:hAnsi="Times New Roman"/>
          <w:b/>
          <w:color w:val="000000"/>
          <w:sz w:val="24"/>
        </w:rPr>
        <w:t>Assignment; Successors and Assigns</w:t>
      </w:r>
      <w:r>
        <w:rPr>
          <w:rFonts w:ascii="Times New Roman" w:hAnsi="Times New Roman"/>
          <w:color w:val="000000"/>
          <w:sz w:val="24"/>
        </w:rPr>
        <w:t>. Neither the Executive nor the Company may make any assignment of this Agreement or any interest in it, by operation of law or otherwise,</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 xml:space="preserve">Company may assign its rights and obligations under this Agreement and any Restrictive Covenant Agreement without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Executive’s consent to one of its Affiliates or to any Person with which the Company shall hereafter effect a reorganization, consolidate or merge, or to 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hereafter</w:t>
      </w:r>
      <w:r>
        <w:rPr>
          <w:color w:val="000000"/>
        </w:rPr>
        <w:t xml:space="preserve"> </w:t>
      </w:r>
      <w:r>
        <w:rPr>
          <w:rFonts w:ascii="Times New Roman" w:hAnsi="Times New Roman"/>
          <w:color w:val="000000"/>
          <w:sz w:val="24"/>
        </w:rPr>
        <w:t>transfer</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properties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assets. This Agreement shall inure to the benefit of and be binding upon the Executive and the Company, and each of their respective successors, executors, administrators, heirs and permitted</w:t>
      </w:r>
      <w:r>
        <w:rPr>
          <w:color w:val="000000"/>
        </w:rPr>
        <w:t xml:space="preserve"> </w:t>
      </w:r>
      <w:r>
        <w:rPr>
          <w:rFonts w:ascii="Times New Roman" w:hAnsi="Times New Roman"/>
          <w:color w:val="000000"/>
          <w:sz w:val="24"/>
        </w:rPr>
        <w:t>assigns,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dies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before all</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have been</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remaining</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beneficiary designated by the Executive or, if no such beneficiary has been designated, to the Executive’s estate.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pPr>
      <w:r>
        <w:rPr>
          <w:rFonts w:ascii="Times New Roman" w:hAnsi="Times New Roman"/>
          <w:b/>
          <w:color w:val="000000"/>
          <w:sz w:val="24"/>
        </w:rPr>
        <w:t>Severability</w:t>
      </w:r>
      <w:r>
        <w:rPr>
          <w:rFonts w:ascii="Times New Roman" w:hAnsi="Times New Roman"/>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pPr>
      <w:r>
        <w:rPr>
          <w:rFonts w:ascii="Times New Roman" w:hAnsi="Times New Roman"/>
          <w:b/>
          <w:color w:val="000000"/>
          <w:sz w:val="24"/>
        </w:rPr>
        <w:t>Arbitration</w:t>
      </w:r>
      <w:r>
        <w:rPr>
          <w:rFonts w:ascii="Times New Roman" w:hAnsi="Times New Roman"/>
          <w:color w:val="000000"/>
          <w:sz w:val="24"/>
        </w:rPr>
        <w:t>. Any dispute or controversy arising under or in connection with this Agreement or the Executive’s employment with the Company (including any claims of breach of contract, wrongful termination or age, sex, race or other discrimination), other than claims for which arbitration is unavailable as a matter of law, shall be settled exclusively by arbitration administered by the American Arbitration Administration, conducted before a single arbitrator in Indiana in accordance with the Employment Arbitration</w:t>
      </w:r>
      <w:r>
        <w:rPr>
          <w:color w:val="000000"/>
        </w:rPr>
        <w:t xml:space="preserve"> </w:t>
      </w:r>
      <w:r>
        <w:rPr>
          <w:rFonts w:ascii="Times New Roman" w:hAnsi="Times New Roman"/>
          <w:color w:val="000000"/>
          <w:sz w:val="24"/>
        </w:rPr>
        <w:t>Rules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Mediation</w:t>
      </w:r>
      <w:r>
        <w:rPr>
          <w:color w:val="000000"/>
        </w:rPr>
        <w:t xml:space="preserve"> </w:t>
      </w:r>
      <w:r>
        <w:rPr>
          <w:rFonts w:ascii="Times New Roman" w:hAnsi="Times New Roman"/>
          <w:color w:val="000000"/>
          <w:sz w:val="24"/>
        </w:rPr>
        <w:t>Procedures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American</w:t>
      </w:r>
      <w:r>
        <w:rPr>
          <w:color w:val="000000"/>
        </w:rPr>
        <w:t xml:space="preserve"> </w:t>
      </w:r>
      <w:r>
        <w:rPr>
          <w:rFonts w:ascii="Times New Roman" w:hAnsi="Times New Roman"/>
          <w:color w:val="000000"/>
          <w:sz w:val="24"/>
        </w:rPr>
        <w:t>Arbitration</w:t>
      </w:r>
      <w:r>
        <w:rPr>
          <w:color w:val="000000"/>
        </w:rPr>
        <w:t xml:space="preserve"> </w:t>
      </w:r>
      <w:r>
        <w:rPr>
          <w:rFonts w:ascii="Times New Roman" w:hAnsi="Times New Roman"/>
          <w:color w:val="000000"/>
          <w:sz w:val="24"/>
        </w:rPr>
        <w:t>Association</w:t>
      </w:r>
      <w:r>
        <w:rPr>
          <w:color w:val="000000"/>
        </w:rPr>
        <w:t xml:space="preserve"> </w:t>
      </w:r>
      <w:r>
        <w:rPr>
          <w:rFonts w:ascii="Times New Roman" w:hAnsi="Times New Roman"/>
          <w:color w:val="000000"/>
          <w:sz w:val="24"/>
        </w:rPr>
        <w:t>then in</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AAA</w:t>
      </w:r>
      <w:r>
        <w:rPr>
          <w:color w:val="000000"/>
          <w:u w:val="single"/>
        </w:rPr>
        <w:t xml:space="preserve"> </w:t>
      </w:r>
      <w:r>
        <w:rPr>
          <w:rFonts w:ascii="Times New Roman" w:hAnsi="Times New Roman"/>
          <w:color w:val="000000"/>
          <w:sz w:val="24"/>
          <w:u w:val="single"/>
        </w:rPr>
        <w:t>Rules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Arbitration</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modified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and conditions set forth in this Section 11. Discovery in any such arbitration proceeding shall be conducted according to the AAA Rules to the fullest extent authorized by the state of Indiana. The arbitrator shall be selected by mutual agreement of the parties hereto, or, if the</w:t>
      </w:r>
      <w:r>
        <w:rPr>
          <w:color w:val="000000"/>
        </w:rPr>
        <w:t xml:space="preserve"> </w:t>
      </w:r>
      <w:r>
        <w:rPr>
          <w:rFonts w:ascii="Times New Roman" w:hAnsi="Times New Roman"/>
          <w:color w:val="000000"/>
          <w:sz w:val="24"/>
        </w:rPr>
        <w:t>parties</w:t>
      </w:r>
      <w:r>
        <w:rPr>
          <w:color w:val="000000"/>
        </w:rPr>
        <w:t xml:space="preserve"> </w:t>
      </w:r>
      <w:r>
        <w:rPr>
          <w:rFonts w:ascii="Times New Roman" w:hAnsi="Times New Roman"/>
          <w:color w:val="000000"/>
          <w:sz w:val="24"/>
        </w:rPr>
        <w:t>cannot</w:t>
      </w:r>
      <w:r>
        <w:rPr>
          <w:color w:val="000000"/>
        </w:rPr>
        <w:t xml:space="preserve"> </w:t>
      </w:r>
      <w:r>
        <w:rPr>
          <w:rFonts w:ascii="Times New Roman" w:hAnsi="Times New Roman"/>
          <w:color w:val="000000"/>
          <w:sz w:val="24"/>
        </w:rPr>
        <w:t>agree,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arbitrator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selected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striking</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list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arbitrators supplied by the American Arbitration Association. The written decision of the arbitrator 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final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binding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parties</w:t>
      </w:r>
      <w:r>
        <w:rPr>
          <w:color w:val="000000"/>
        </w:rPr>
        <w:t xml:space="preserve"> </w:t>
      </w:r>
      <w:r>
        <w:rPr>
          <w:rFonts w:ascii="Times New Roman" w:hAnsi="Times New Roman"/>
          <w:color w:val="000000"/>
          <w:sz w:val="24"/>
        </w:rPr>
        <w:t>hereto.</w:t>
      </w:r>
      <w:r>
        <w:rPr>
          <w:color w:val="000000"/>
        </w:rPr>
        <w:t xml:space="preserve"> </w:t>
      </w:r>
      <w:r>
        <w:rPr>
          <w:rFonts w:ascii="Times New Roman" w:hAnsi="Times New Roman"/>
          <w:color w:val="000000"/>
          <w:sz w:val="24"/>
        </w:rPr>
        <w:t>Judgment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entered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arbitrator’s award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court</w:t>
      </w:r>
      <w:r>
        <w:rPr>
          <w:color w:val="000000"/>
        </w:rPr>
        <w:t xml:space="preserve"> </w:t>
      </w:r>
      <w:r>
        <w:rPr>
          <w:rFonts w:ascii="Times New Roman" w:hAnsi="Times New Roman"/>
          <w:color w:val="000000"/>
          <w:sz w:val="24"/>
        </w:rPr>
        <w:t>having</w:t>
      </w:r>
      <w:r>
        <w:rPr>
          <w:color w:val="000000"/>
        </w:rPr>
        <w:t xml:space="preserve"> </w:t>
      </w:r>
      <w:r>
        <w:rPr>
          <w:rFonts w:ascii="Times New Roman" w:hAnsi="Times New Roman"/>
          <w:color w:val="000000"/>
          <w:sz w:val="24"/>
        </w:rPr>
        <w:t>jurisdiction.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arbitration,</w:t>
      </w:r>
      <w:r>
        <w:rPr>
          <w:color w:val="000000"/>
        </w:rPr>
        <w:t xml:space="preserve"> </w:t>
      </w:r>
      <w:r>
        <w:rPr>
          <w:rFonts w:ascii="Times New Roman" w:hAnsi="Times New Roman"/>
          <w:color w:val="000000"/>
          <w:sz w:val="24"/>
        </w:rPr>
        <w:t>the Company shall bear the arbitrator’s costs, and each party will bear such party’s own deposition, witness, expert and attorneys’ fees and other expenses to the same extent as if the matter were being heard in court; provided, that the arbitrator may award reasonable attorneys’ fees and costs to the prevailing party.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pPr>
      <w:r>
        <w:rPr>
          <w:rFonts w:ascii="Times New Roman" w:hAnsi="Times New Roman"/>
          <w:b/>
          <w:color w:val="000000"/>
          <w:sz w:val="24"/>
        </w:rPr>
        <w:t>Miscellaneous</w:t>
      </w:r>
      <w:r>
        <w:rPr>
          <w:rFonts w:ascii="Times New Roman" w:hAnsi="Times New Roman"/>
          <w:color w:val="000000"/>
          <w:sz w:val="24"/>
        </w:rPr>
        <w:t>. This Agreement, together with the any Restrictive Covenant Agreement and the Equity Documents, sets forth the entire agreement between the Executive and the Company, and replaces all prior communications, agreements and understandings,</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oral,</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conditions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employment, including the Prior Agreement. For the avoidance of doubt, the Restrictive Covenant Agreement is incorporated by reference into this Agreement as set forth above and nothing herein supersedes or replaces such Restrictive Covenant Agreement. This Agreement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modified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amended,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 xml:space="preserve">waived, unless agreed to in writing by the Executive and the CEO. The headings and captions in this Agreement are for convenience only and in no way define or describe the scope or content of any provision of this Agreement. This Agreement may be executed in two (2) or more counterparts, each of which shall be an original, and all of which together shall constitute one (1) and the same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instrument. This is an Indiana contract and shall be governed and construed in accordance with the laws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of Indiana, without regard to any</w:t>
      </w:r>
      <w:r>
        <w:rPr>
          <w:color w:val="000000"/>
        </w:rPr>
        <w:t xml:space="preserve"> </w:t>
      </w:r>
      <w:r>
        <w:rPr>
          <w:rFonts w:ascii="Times New Roman" w:hAnsi="Times New Roman"/>
          <w:color w:val="000000"/>
          <w:sz w:val="24"/>
        </w:rPr>
        <w:t>conflict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principles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result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pPr>
      <w:r>
        <w:rPr>
          <w:rFonts w:ascii="Times New Roman" w:hAnsi="Times New Roman"/>
          <w:b/>
          <w:color w:val="000000"/>
          <w:sz w:val="24"/>
        </w:rPr>
        <w:t>Notices</w:t>
      </w:r>
      <w:r>
        <w:rPr>
          <w:rFonts w:ascii="Times New Roman" w:hAnsi="Times New Roman"/>
          <w:color w:val="000000"/>
          <w:sz w:val="24"/>
        </w:rPr>
        <w:t>. Any notices provided for in this Agreement shall be in writing and shall be effective when delivered in person or deposited in the United States mail, postage prepaid,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addressed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last</w:t>
      </w:r>
      <w:r>
        <w:rPr>
          <w:color w:val="000000"/>
        </w:rPr>
        <w:t xml:space="preserve"> </w:t>
      </w:r>
      <w:r>
        <w:rPr>
          <w:rFonts w:ascii="Times New Roman" w:hAnsi="Times New Roman"/>
          <w:color w:val="000000"/>
          <w:sz w:val="24"/>
        </w:rPr>
        <w:t>known</w:t>
      </w:r>
      <w:r>
        <w:rPr>
          <w:color w:val="000000"/>
        </w:rPr>
        <w:t xml:space="preserve"> </w:t>
      </w:r>
      <w:r>
        <w:rPr>
          <w:rFonts w:ascii="Times New Roman" w:hAnsi="Times New Roman"/>
          <w:color w:val="000000"/>
          <w:sz w:val="24"/>
        </w:rPr>
        <w:t>address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books of the Company or, in the case of the Company, to it at its principal place of business, attention of the Chairperson of the Board, or to such other address as either party may specify by notice to the other actually received.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rFonts w:ascii="Times New Roman" w:hAnsi="Times New Roman"/>
          <w:b/>
          <w:color w:val="000000"/>
          <w:sz w:val="24"/>
        </w:rPr>
        <w:t>Section</w:t>
      </w:r>
      <w:r>
        <w:rPr>
          <w:color w:val="000000"/>
        </w:rPr>
        <w:t xml:space="preserve"> </w:t>
      </w:r>
      <w:r>
        <w:rPr>
          <w:rFonts w:ascii="Times New Roman" w:hAnsi="Times New Roman"/>
          <w:b/>
          <w:color w:val="000000"/>
          <w:sz w:val="24"/>
        </w:rPr>
        <w:t>280G</w:t>
      </w:r>
      <w:r>
        <w:rPr>
          <w:rFonts w:ascii="Times New Roman" w:hAnsi="Times New Roman"/>
          <w:color w:val="000000"/>
          <w:sz w:val="24"/>
        </w:rPr>
        <w:t>.</w:t>
      </w:r>
      <w:r>
        <w:rPr>
          <w:color w:val="000000"/>
        </w:rPr>
        <w:t xml:space="preserve"> </w:t>
      </w:r>
      <w:r>
        <w:rPr>
          <w:rFonts w:ascii="Times New Roman" w:hAnsi="Times New Roman"/>
          <w:color w:val="000000"/>
          <w:sz w:val="24"/>
        </w:rPr>
        <w:t>Anything 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contrary notwithstanding,</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 event that the amount of any compensation, payment or distribution provided to the Executive, whether paid or</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or distributed or</w:t>
      </w:r>
      <w:r>
        <w:rPr>
          <w:color w:val="000000"/>
        </w:rPr>
        <w:t xml:space="preserve"> </w:t>
      </w:r>
      <w:r>
        <w:rPr>
          <w:rFonts w:ascii="Times New Roman" w:hAnsi="Times New Roman"/>
          <w:color w:val="000000"/>
          <w:sz w:val="24"/>
        </w:rPr>
        <w:t>distributable</w:t>
      </w:r>
      <w:r>
        <w:rPr>
          <w:color w:val="000000"/>
        </w:rPr>
        <w:t xml:space="preserve"> </w:t>
      </w:r>
      <w:r>
        <w:rPr>
          <w:rFonts w:ascii="Times New Roman" w:hAnsi="Times New Roman"/>
          <w:color w:val="000000"/>
          <w:sz w:val="24"/>
        </w:rPr>
        <w:t>pursuant to the</w:t>
      </w:r>
      <w:r>
        <w:rPr>
          <w:color w:val="000000"/>
        </w:rPr>
        <w:t xml:space="preserve"> </w:t>
      </w:r>
      <w:r>
        <w:rPr>
          <w:rFonts w:ascii="Times New Roman" w:hAnsi="Times New Roman"/>
          <w:color w:val="000000"/>
          <w:sz w:val="24"/>
        </w:rPr>
        <w:t>terms of this Agreement or otherwise, calculated in a manner consistent with Section 280G of the Code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regulations thereunder</w:t>
      </w:r>
      <w:r>
        <w:rPr>
          <w:color w:val="000000"/>
        </w:rPr>
        <w:t xml:space="preserve"> </w:t>
      </w:r>
      <w:r>
        <w:rPr>
          <w:rFonts w:ascii="Times New Roman" w:hAnsi="Times New Roman"/>
          <w:color w:val="000000"/>
          <w:sz w:val="24"/>
        </w:rPr>
        <w:t>(collectively, the “</w:t>
      </w:r>
      <w:r>
        <w:rPr>
          <w:rFonts w:ascii="Times New Roman" w:hAnsi="Times New Roman"/>
          <w:color w:val="000000"/>
          <w:sz w:val="24"/>
          <w:u w:val="single"/>
        </w:rPr>
        <w:t>Aggregate</w:t>
      </w:r>
      <w:r>
        <w:rPr>
          <w:color w:val="000000"/>
          <w:u w:val="single"/>
        </w:rPr>
        <w:t xml:space="preserve"> </w:t>
      </w:r>
      <w:r>
        <w:rPr>
          <w:rFonts w:ascii="Times New Roman" w:hAnsi="Times New Roman"/>
          <w:color w:val="000000"/>
          <w:sz w:val="24"/>
          <w:u w:val="single"/>
        </w:rPr>
        <w:t>Payments</w:t>
      </w:r>
      <w:r>
        <w:rPr>
          <w:color w:val="000000"/>
        </w:rPr>
        <w:t>”</w:t>
      </w:r>
      <w:r>
        <w:rPr>
          <w:rFonts w:ascii="Times New Roman" w:hAnsi="Times New Roman"/>
          <w:color w:val="000000"/>
          <w:sz w:val="24"/>
        </w:rPr>
        <w:t>), would be</w:t>
      </w:r>
      <w:r>
        <w:rPr>
          <w:color w:val="000000"/>
        </w:rPr>
        <w:t xml:space="preserve"> </w:t>
      </w:r>
      <w:r>
        <w:rPr>
          <w:rFonts w:ascii="Times New Roman" w:hAnsi="Times New Roman"/>
          <w:color w:val="000000"/>
          <w:sz w:val="24"/>
        </w:rPr>
        <w:t>subject to the excise</w:t>
      </w:r>
      <w:r>
        <w:rPr>
          <w:color w:val="000000"/>
        </w:rPr>
        <w:t xml:space="preserve"> </w:t>
      </w:r>
      <w:r>
        <w:rPr>
          <w:rFonts w:ascii="Times New Roman" w:hAnsi="Times New Roman"/>
          <w:color w:val="000000"/>
          <w:sz w:val="24"/>
        </w:rPr>
        <w:t>tax imposed by Section 4999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or nondeductible by the payor due to Section 280G of the Code (as applicable, the “</w:t>
      </w:r>
      <w:r>
        <w:rPr>
          <w:rFonts w:ascii="Times New Roman" w:hAnsi="Times New Roman"/>
          <w:color w:val="000000"/>
          <w:sz w:val="24"/>
          <w:u w:val="single"/>
        </w:rPr>
        <w:t>Adverse 280G</w:t>
      </w:r>
      <w:r>
        <w:rPr>
          <w:color w:val="000000"/>
        </w:rPr>
        <w:t xml:space="preserve"> </w:t>
      </w:r>
      <w:r>
        <w:rPr>
          <w:rFonts w:ascii="Times New Roman" w:hAnsi="Times New Roman"/>
          <w:color w:val="000000"/>
          <w:sz w:val="24"/>
          <w:u w:val="single"/>
        </w:rPr>
        <w:t>Consequences</w:t>
      </w:r>
      <w:r>
        <w:rPr>
          <w:color w:val="000000"/>
        </w:rPr>
        <w:t>”</w:t>
      </w:r>
      <w:r>
        <w:rPr>
          <w:rFonts w:ascii="Times New Roman" w:hAnsi="Times New Roman"/>
          <w:color w:val="000000"/>
          <w:sz w:val="24"/>
        </w:rPr>
        <w:t>), then the Aggregate Payments shall be reduced (but not below zero ($0)) to</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$1.00</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Adverse</w:t>
      </w:r>
      <w:r>
        <w:rPr>
          <w:color w:val="000000"/>
        </w:rPr>
        <w:t xml:space="preserve"> </w:t>
      </w:r>
      <w:r>
        <w:rPr>
          <w:rFonts w:ascii="Times New Roman" w:hAnsi="Times New Roman"/>
          <w:color w:val="000000"/>
          <w:sz w:val="24"/>
        </w:rPr>
        <w:t>280G</w:t>
      </w:r>
      <w:r>
        <w:rPr>
          <w:color w:val="000000"/>
        </w:rPr>
        <w:t xml:space="preserve"> </w:t>
      </w:r>
      <w:r>
        <w:rPr>
          <w:rFonts w:ascii="Times New Roman" w:hAnsi="Times New Roman"/>
          <w:color w:val="000000"/>
          <w:sz w:val="24"/>
        </w:rPr>
        <w:t>Consequences apply; provided that such reduction shall only occur if it would result in the Executive receiving</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higher</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receive if the Aggregate Payments were not subject to such reduction. In the event a reduction is warranted, the Aggregate Payments shall be reduced in the following order, in each case, in reverse chronological order beginning with the Aggregate Payments that are</w:t>
      </w:r>
      <w:r>
        <w:rPr>
          <w:color w:val="000000"/>
        </w:rPr>
        <w:t xml:space="preserve"> </w:t>
      </w:r>
      <w:r>
        <w:rPr>
          <w:rFonts w:ascii="Times New Roman" w:hAnsi="Times New Roman"/>
          <w:color w:val="000000"/>
          <w:sz w:val="24"/>
        </w:rPr>
        <w:t>to be paid the furthest in time from consummation of the transaction that is subject to Section</w:t>
      </w:r>
      <w:r>
        <w:rPr>
          <w:color w:val="000000"/>
        </w:rPr>
        <w:t xml:space="preserve"> </w:t>
      </w:r>
      <w:r>
        <w:rPr>
          <w:rFonts w:ascii="Times New Roman" w:hAnsi="Times New Roman"/>
          <w:color w:val="000000"/>
          <w:sz w:val="24"/>
        </w:rPr>
        <w:t>280G of the Code: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cash payments not subject to Section 409A; (b)</w:t>
      </w:r>
      <w:r>
        <w:rPr>
          <w:color w:val="000000"/>
        </w:rPr>
        <w:t xml:space="preserve"> </w:t>
      </w:r>
      <w:r>
        <w:rPr>
          <w:rFonts w:ascii="Times New Roman" w:hAnsi="Times New Roman"/>
          <w:color w:val="000000"/>
          <w:sz w:val="24"/>
        </w:rPr>
        <w:t>cash payments subject to Section</w:t>
      </w:r>
      <w:r>
        <w:rPr>
          <w:color w:val="000000"/>
        </w:rPr>
        <w:t xml:space="preserve"> </w:t>
      </w:r>
      <w:r>
        <w:rPr>
          <w:rFonts w:ascii="Times New Roman" w:hAnsi="Times New Roman"/>
          <w:color w:val="000000"/>
          <w:sz w:val="24"/>
        </w:rPr>
        <w:t>409A; (c) equity-based payments and</w:t>
      </w:r>
      <w:r>
        <w:rPr>
          <w:color w:val="000000"/>
        </w:rPr>
        <w:t xml:space="preserve"> </w:t>
      </w:r>
      <w:r>
        <w:rPr>
          <w:rFonts w:ascii="Times New Roman" w:hAnsi="Times New Roman"/>
          <w:color w:val="000000"/>
          <w:sz w:val="24"/>
        </w:rPr>
        <w:t>acceleration; and (d)</w:t>
      </w:r>
      <w:r>
        <w:rPr>
          <w:color w:val="000000"/>
        </w:rPr>
        <w:t xml:space="preserve"> </w:t>
      </w:r>
      <w:r>
        <w:rPr>
          <w:rFonts w:ascii="Times New Roman" w:hAnsi="Times New Roman"/>
          <w:color w:val="000000"/>
          <w:sz w:val="24"/>
        </w:rPr>
        <w:t>non-cash</w:t>
      </w:r>
      <w:r>
        <w:rPr>
          <w:color w:val="000000"/>
        </w:rPr>
        <w:t xml:space="preserve"> </w:t>
      </w:r>
      <w:r>
        <w:rPr>
          <w:rFonts w:ascii="Times New Roman" w:hAnsi="Times New Roman"/>
          <w:color w:val="000000"/>
          <w:sz w:val="24"/>
        </w:rPr>
        <w:t>forms of benefits;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foregoing</w:t>
      </w:r>
      <w:r>
        <w:rPr>
          <w:color w:val="000000"/>
        </w:rPr>
        <w:t xml:space="preserve"> </w:t>
      </w:r>
      <w:r>
        <w:rPr>
          <w:rFonts w:ascii="Times New Roman" w:hAnsi="Times New Roman"/>
          <w:color w:val="000000"/>
          <w:sz w:val="24"/>
        </w:rPr>
        <w:t>Aggregate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amounts or</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Treasury 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1.280G-1,</w:t>
      </w:r>
      <w:r>
        <w:rPr>
          <w:color w:val="000000"/>
        </w:rPr>
        <w:t xml:space="preserve"> </w:t>
      </w:r>
      <w:r>
        <w:rPr>
          <w:rFonts w:ascii="Times New Roman" w:hAnsi="Times New Roman"/>
          <w:color w:val="000000"/>
          <w:sz w:val="24"/>
        </w:rPr>
        <w:t>Q&amp;A-24(b)</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reduced</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that are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Treasury</w:t>
      </w:r>
      <w:r>
        <w:rPr>
          <w:color w:val="000000"/>
        </w:rPr>
        <w:t xml:space="preserve"> </w:t>
      </w:r>
      <w:r>
        <w:rPr>
          <w:rFonts w:ascii="Times New Roman" w:hAnsi="Times New Roman"/>
          <w:color w:val="000000"/>
          <w:sz w:val="24"/>
        </w:rPr>
        <w:t>Regulation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1.280G-1,</w:t>
      </w:r>
      <w:r>
        <w:rPr>
          <w:color w:val="000000"/>
        </w:rPr>
        <w:t xml:space="preserve"> </w:t>
      </w:r>
      <w:r>
        <w:rPr>
          <w:rFonts w:ascii="Times New Roman" w:hAnsi="Times New Roman"/>
          <w:color w:val="000000"/>
          <w:sz w:val="24"/>
        </w:rPr>
        <w:t>Q&amp;A-24(b)</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 For purposes of this Agreement, the “</w:t>
      </w:r>
      <w:r>
        <w:rPr>
          <w:rFonts w:ascii="Times New Roman" w:hAnsi="Times New Roman"/>
          <w:color w:val="000000"/>
          <w:sz w:val="24"/>
          <w:u w:val="single"/>
        </w:rPr>
        <w:t>After Tax Amount</w:t>
      </w:r>
      <w:r>
        <w:rPr>
          <w:color w:val="000000"/>
        </w:rPr>
        <w:t xml:space="preserve">” </w:t>
      </w:r>
      <w:r>
        <w:rPr>
          <w:rFonts w:ascii="Times New Roman" w:hAnsi="Times New Roman"/>
          <w:color w:val="000000"/>
          <w:sz w:val="24"/>
        </w:rPr>
        <w:t>means the amount of the Aggregate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excise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taxes imposed on the Executive as a result of the Executive’s receipt of the Aggregate Payments.</w:t>
      </w:r>
      <w:r>
        <w:rPr>
          <w:color w:val="000000"/>
        </w:rPr>
        <w:t xml:space="preserve"> </w:t>
      </w:r>
      <w:r>
        <w:rPr>
          <w:rFonts w:ascii="Times New Roman" w:hAnsi="Times New Roman"/>
          <w:color w:val="000000"/>
          <w:sz w:val="24"/>
        </w:rPr>
        <w:t>For purposes of determining the After Tax Amount, the Executive shall be 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taxation applicable to individuals for the calendar year in which the determination is to be made, and</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individual</w:t>
      </w:r>
      <w:r>
        <w:rPr>
          <w:color w:val="000000"/>
        </w:rPr>
        <w:t xml:space="preserve"> </w:t>
      </w:r>
      <w:r>
        <w:rPr>
          <w:rFonts w:ascii="Times New Roman" w:hAnsi="Times New Roman"/>
          <w:color w:val="000000"/>
          <w:sz w:val="24"/>
        </w:rPr>
        <w:t>taxation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 applicable</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locality,</w:t>
      </w:r>
      <w:r>
        <w:rPr>
          <w:color w:val="000000"/>
        </w:rPr>
        <w:t xml:space="preserve"> </w:t>
      </w:r>
      <w:r>
        <w:rPr>
          <w:rFonts w:ascii="Times New Roman" w:hAnsi="Times New Roman"/>
          <w:color w:val="000000"/>
          <w:sz w:val="24"/>
        </w:rPr>
        <w:t>net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maximum</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which could be obtained from deduction of such state and local taxes. The determination as to whether a reduction in the Aggregate Payments shall be made pursuant to the Agreement shall be made by a nationally recognized accounting firm selected by the Company (the “</w:t>
      </w:r>
      <w:r>
        <w:rPr>
          <w:rFonts w:ascii="Times New Roman" w:hAnsi="Times New Roman"/>
          <w:color w:val="000000"/>
          <w:sz w:val="24"/>
          <w:u w:val="single"/>
        </w:rPr>
        <w:t>Accounting Firm</w:t>
      </w:r>
      <w:r>
        <w:rPr>
          <w:color w:val="000000"/>
        </w:rPr>
        <w:t>”</w:t>
      </w:r>
      <w:r>
        <w:rPr>
          <w:rFonts w:ascii="Times New Roman" w:hAnsi="Times New Roman"/>
          <w:color w:val="000000"/>
          <w:sz w:val="24"/>
        </w:rPr>
        <w:t>), which shall provide detailed supporting calculations both to the Company and the Executive within fifteen (15)</w:t>
      </w:r>
      <w:r>
        <w:rPr>
          <w:color w:val="000000"/>
        </w:rPr>
        <w:t xml:space="preserve"> </w:t>
      </w:r>
      <w:r>
        <w:rPr>
          <w:rFonts w:ascii="Times New Roman" w:hAnsi="Times New Roman"/>
          <w:color w:val="000000"/>
          <w:sz w:val="24"/>
        </w:rPr>
        <w:t>business days of the termination date, if applicable, or at such earlier time as is reasonably requested by the Company or the Executive.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Accounting</w:t>
      </w:r>
      <w:r>
        <w:rPr>
          <w:color w:val="000000"/>
        </w:rPr>
        <w:t xml:space="preserve"> </w:t>
      </w:r>
      <w:r>
        <w:rPr>
          <w:rFonts w:ascii="Times New Roman" w:hAnsi="Times New Roman"/>
          <w:color w:val="000000"/>
          <w:sz w:val="24"/>
        </w:rPr>
        <w:t>Firm</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binding</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and the Executive.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40" w:after="283"/>
        <w:jc w:val="both"/>
        <w:rPr/>
      </w:pPr>
      <w:r>
        <w:rPr>
          <w:rFonts w:ascii="Times New Roman" w:hAnsi="Times New Roman"/>
          <w:b/>
          <w:color w:val="000000"/>
          <w:sz w:val="24"/>
        </w:rPr>
        <w:t>Effect</w:t>
      </w:r>
      <w:r>
        <w:rPr>
          <w:color w:val="000000"/>
        </w:rPr>
        <w:t xml:space="preserve"> </w:t>
      </w:r>
      <w:r>
        <w:rPr>
          <w:rFonts w:ascii="Times New Roman" w:hAnsi="Times New Roman"/>
          <w:b/>
          <w:color w:val="000000"/>
          <w:sz w:val="24"/>
        </w:rPr>
        <w:t>on</w:t>
      </w:r>
      <w:r>
        <w:rPr>
          <w:color w:val="000000"/>
        </w:rPr>
        <w:t xml:space="preserve"> </w:t>
      </w:r>
      <w:r>
        <w:rPr>
          <w:rFonts w:ascii="Times New Roman" w:hAnsi="Times New Roman"/>
          <w:b/>
          <w:color w:val="000000"/>
          <w:sz w:val="24"/>
        </w:rPr>
        <w:t>Other</w:t>
      </w:r>
      <w:r>
        <w:rPr>
          <w:color w:val="000000"/>
        </w:rPr>
        <w:t xml:space="preserve"> </w:t>
      </w:r>
      <w:r>
        <w:rPr>
          <w:rFonts w:ascii="Times New Roman" w:hAnsi="Times New Roman"/>
          <w:b/>
          <w:color w:val="000000"/>
          <w:sz w:val="24"/>
        </w:rPr>
        <w:t>Plans</w:t>
      </w:r>
      <w:r>
        <w:rPr>
          <w:color w:val="000000"/>
        </w:rPr>
        <w:t xml:space="preserve"> </w:t>
      </w:r>
      <w:r>
        <w:rPr>
          <w:rFonts w:ascii="Times New Roman" w:hAnsi="Times New Roman"/>
          <w:b/>
          <w:color w:val="000000"/>
          <w:sz w:val="24"/>
        </w:rPr>
        <w:t>and</w:t>
      </w:r>
      <w:r>
        <w:rPr>
          <w:color w:val="000000"/>
        </w:rPr>
        <w:t xml:space="preserve"> </w:t>
      </w:r>
      <w:r>
        <w:rPr>
          <w:rFonts w:ascii="Times New Roman" w:hAnsi="Times New Roman"/>
          <w:b/>
          <w:color w:val="000000"/>
          <w:sz w:val="24"/>
        </w:rPr>
        <w:t>Agreements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 severance benefits under any Company severance pay plan, policy, offer letter or otherwise.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 limitation,</w:t>
      </w:r>
      <w:r>
        <w:rPr>
          <w:color w:val="000000"/>
        </w:rPr>
        <w:t xml:space="preserve"> </w:t>
      </w:r>
      <w:r>
        <w:rPr>
          <w:rFonts w:ascii="Times New Roman" w:hAnsi="Times New Roman"/>
          <w:color w:val="000000"/>
          <w:sz w:val="24"/>
        </w:rPr>
        <w:t>so-called</w:t>
      </w:r>
      <w:r>
        <w:rPr>
          <w:color w:val="000000"/>
        </w:rPr>
        <w:t xml:space="preserve"> “</w:t>
      </w:r>
      <w:r>
        <w:rPr>
          <w:rFonts w:ascii="Times New Roman" w:hAnsi="Times New Roman"/>
          <w:color w:val="000000"/>
          <w:sz w:val="24"/>
        </w:rPr>
        <w:t>plant</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requires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give</w:t>
      </w:r>
      <w:r>
        <w:rPr>
          <w:color w:val="000000"/>
        </w:rPr>
        <w:t xml:space="preserve"> </w:t>
      </w:r>
      <w:r>
        <w:rPr>
          <w:rFonts w:ascii="Times New Roman" w:hAnsi="Times New Roman"/>
          <w:color w:val="000000"/>
          <w:sz w:val="24"/>
        </w:rPr>
        <w:t>advance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or make a payment of any kind to the Executive because of the Executive’s involuntary termination</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to a</w:t>
      </w:r>
      <w:r>
        <w:rPr>
          <w:color w:val="000000"/>
        </w:rPr>
        <w:t xml:space="preserve"> </w:t>
      </w:r>
      <w:r>
        <w:rPr>
          <w:rFonts w:ascii="Times New Roman" w:hAnsi="Times New Roman"/>
          <w:color w:val="000000"/>
          <w:sz w:val="24"/>
        </w:rPr>
        <w:t>layoff,</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 force,</w:t>
      </w:r>
      <w:r>
        <w:rPr>
          <w:color w:val="000000"/>
        </w:rPr>
        <w:t xml:space="preserve"> </w:t>
      </w:r>
      <w:r>
        <w:rPr>
          <w:rFonts w:ascii="Times New Roman" w:hAnsi="Times New Roman"/>
          <w:color w:val="000000"/>
          <w:sz w:val="24"/>
        </w:rPr>
        <w:t>plant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facility</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sale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 or similar event, the Severance Benefits provided under this Agreement or the other arrangement shall either be reduced or eliminated to avoid any duplication of payment.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Follows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duly authorized representative, and by the Executive, as of the date first above written.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Kailera</w:t>
      </w:r>
      <w:r>
        <w:rPr>
          <w:rFonts w:ascii="Times New Roman" w:hAnsi="Times New Roman"/>
          <w:color w:val="000000"/>
          <w:sz w:val="20"/>
        </w:rPr>
        <w:t xml:space="preserve"> </w:t>
      </w:r>
      <w:r>
        <w:rPr>
          <w:rFonts w:ascii="Times New Roman" w:hAnsi="Times New Roman"/>
          <w:color w:val="000000"/>
          <w:sz w:val="24"/>
        </w:rPr>
        <w:t>Therapeutics, Inc.</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Ronald C. Renaud, Jr.</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Ronald C. Renaud, Jr.</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Its:</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tcMar>
              <w:top w:w="0" w:type="dxa"/>
              <w:left w:w="0" w:type="dxa"/>
              <w:right w:w="0" w:type="dxa"/>
            </w:tcMar>
            <w:vAlign w:val="center"/>
          </w:tcPr>
          <w:p>
            <w:pPr>
              <w:pStyle w:val="TableContents"/>
              <w:bidi w:val="0"/>
              <w:spacing w:before="14" w:after="283"/>
              <w:jc w:val="left"/>
              <w:rPr>
                <w:rFonts w:ascii="Times New Roman" w:hAnsi="Times New Roman"/>
                <w:color w:val="000000"/>
                <w:sz w:val="24"/>
              </w:rPr>
            </w:pPr>
            <w:r>
              <w:rPr>
                <w:rFonts w:ascii="Times New Roman" w:hAnsi="Times New Roman"/>
                <w:color w:val="000000"/>
                <w:sz w:val="24"/>
              </w:rPr>
              <w:t>/s/ Jamie Coleman</w:t>
            </w:r>
          </w:p>
        </w:tc>
      </w:tr>
      <w:tr>
        <w:trPr/>
        <w:tc>
          <w:tcPr>
            <w:tcW w:w="1891"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4"/>
              </w:rPr>
            </w:pPr>
            <w:r>
              <w:rPr>
                <w:rFonts w:ascii="Times New Roman" w:hAnsi="Times New Roman"/>
                <w:color w:val="000000"/>
                <w:sz w:val="24"/>
              </w:rPr>
              <w:t>Jamie Coleman</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to Amended and Restated Employment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k0002096997-ex31_1.htm"/>
      <w:bookmarkStart w:id="29" w:name="ksck0002096997ex31_1"/>
      <w:bookmarkEnd w:id="28"/>
      <w:bookmarkEnd w:id="2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Ronald C. Renaud, Jr.,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Kailera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5009" w:type="dxa"/>
        <w:jc w:val="left"/>
        <w:tblInd w:w="0" w:type="dxa"/>
        <w:tblLayout w:type="fixed"/>
        <w:tblCellMar>
          <w:top w:w="28" w:type="dxa"/>
          <w:left w:w="28" w:type="dxa"/>
          <w:bottom w:w="28" w:type="dxa"/>
          <w:right w:w="28" w:type="dxa"/>
        </w:tblCellMar>
      </w:tblPr>
      <w:tblGrid>
        <w:gridCol w:w="1951"/>
        <w:gridCol w:w="146"/>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Ronald C. Renaud,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Ronald C. Renaud,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ck0002096997-ex31_2.htm"/>
      <w:bookmarkStart w:id="31" w:name="ksck0002096997ex31_2"/>
      <w:bookmarkEnd w:id="30"/>
      <w:bookmarkEnd w:id="3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Douglas Pagán,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Kailera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1951"/>
        <w:gridCol w:w="146"/>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Douglas Pagán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Douglas Pagán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ck0002096997-ex32_1.htm"/>
      <w:bookmarkStart w:id="33" w:name="ksck0002096997ex32_1"/>
      <w:bookmarkEnd w:id="32"/>
      <w:bookmarkEnd w:id="3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Kailera Therapeutics,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09" w:type="dxa"/>
        <w:jc w:val="left"/>
        <w:tblInd w:w="0" w:type="dxa"/>
        <w:tblLayout w:type="fixed"/>
        <w:tblCellMar>
          <w:top w:w="28" w:type="dxa"/>
          <w:left w:w="28" w:type="dxa"/>
          <w:bottom w:w="28" w:type="dxa"/>
          <w:right w:w="28" w:type="dxa"/>
        </w:tblCellMar>
      </w:tblPr>
      <w:tblGrid>
        <w:gridCol w:w="1951"/>
        <w:gridCol w:w="146"/>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Ronald C. Renaud,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Ronald C. Renaud,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ck0002096997-ex32_2.htm"/>
      <w:bookmarkStart w:id="35" w:name="ksck0002096997ex32_2"/>
      <w:bookmarkEnd w:id="34"/>
      <w:bookmarkEnd w:id="3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Kailera Therapeutics,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1951"/>
        <w:gridCol w:w="146"/>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Douglas Pagán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Douglas Pagán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2096997/000119312526164040/d137434dex31.htm" TargetMode="External"/><Relationship Id="rId4" Type="http://schemas.openxmlformats.org/officeDocument/2006/relationships/hyperlink" Target="https://www.sec.gov/Archives/edgar/data/2096997/000119312526164040/d137434dex32.htm" TargetMode="External"/><Relationship Id="rId5" Type="http://schemas.openxmlformats.org/officeDocument/2006/relationships/hyperlink" Target="https://www.sec.gov/Archives/edgar/data/2096997/000119312526160175/d135698dex992.htm" TargetMode="External"/><Relationship Id="rId6" Type="http://schemas.openxmlformats.org/officeDocument/2006/relationships/hyperlink" Target="https://www.sec.gov/Archives/edgar/data/2096997/000119312526160175/d135698dex993.htm" TargetMode="External"/><Relationship Id="rId7" Type="http://schemas.openxmlformats.org/officeDocument/2006/relationships/hyperlink" Target="https://www.sec.gov/Archives/edgar/data/2096997/000119312526151904/d113532dex104.htm" TargetMode="External"/><Relationship Id="rId8" Type="http://schemas.openxmlformats.org/officeDocument/2006/relationships/hyperlink" Target="https://www.sec.gov/Archives/edgar/data/2096997/000119312526128952/d113532dex109.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91195</Words>
  <Characters>507882</Characters>
  <CharactersWithSpaces>599378</CharactersWithSpaces>
  <Paragraphs>6708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