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60" w:hanging="3799"/>
        <w:spacing w:after="0" w:line="365" w:lineRule="auto"/>
        <w:tabs>
          <w:tab w:leader="none" w:pos="50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2340" w:right="1580" w:hanging="2319"/>
        <w:spacing w:after="0" w:line="352" w:lineRule="auto"/>
        <w:tabs>
          <w:tab w:leader="none" w:pos="49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______________________ to ______________________</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001-43233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Kailera Therapeutics, Inc.</w:t>
      </w:r>
    </w:p>
    <w:p>
      <w:pPr>
        <w:sectPr>
          <w:pgSz w:w="11900" w:h="16838" w:orient="portrait"/>
          <w:cols w:equalWidth="0" w:num="1">
            <w:col w:w="11240"/>
          </w:cols>
          <w:pgMar w:left="320" w:top="1240"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99-3088927</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3" w:lineRule="exact"/>
        <w:rPr>
          <w:sz w:val="24"/>
          <w:szCs w:val="24"/>
          <w:color w:val="auto"/>
        </w:rPr>
      </w:pPr>
    </w:p>
    <w:p>
      <w:pPr>
        <w:sectPr>
          <w:pgSz w:w="11900" w:h="16838" w:orient="portrait"/>
          <w:cols w:equalWidth="0" w:num="2">
            <w:col w:w="7700" w:space="240"/>
            <w:col w:w="3300"/>
          </w:cols>
          <w:pgMar w:left="320" w:top="1240" w:right="339"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8"/>
          <w:szCs w:val="18"/>
          <w:b w:val="1"/>
          <w:bCs w:val="1"/>
          <w:color w:val="auto"/>
        </w:rPr>
        <w:t>180 Third Avenue, 4th Floor</w:t>
      </w:r>
    </w:p>
    <w:p>
      <w:pPr>
        <w:spacing w:after="0" w:line="31" w:lineRule="exact"/>
        <w:rPr>
          <w:sz w:val="24"/>
          <w:szCs w:val="24"/>
          <w:color w:val="auto"/>
        </w:rPr>
      </w:pPr>
    </w:p>
    <w:p>
      <w:pPr>
        <w:ind w:left="226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Waltham, MA</w:t>
      </w:r>
      <w:r>
        <w:rPr>
          <w:sz w:val="20"/>
          <w:szCs w:val="20"/>
          <w:color w:val="auto"/>
        </w:rPr>
        <w:tab/>
      </w:r>
      <w:r>
        <w:rPr>
          <w:rFonts w:ascii="Times New Roman" w:cs="Times New Roman" w:eastAsia="Times New Roman" w:hAnsi="Times New Roman"/>
          <w:sz w:val="18"/>
          <w:szCs w:val="18"/>
          <w:b w:val="1"/>
          <w:bCs w:val="1"/>
          <w:color w:val="auto"/>
        </w:rPr>
        <w:t>02451</w:t>
      </w:r>
    </w:p>
    <w:p>
      <w:pPr>
        <w:spacing w:after="0" w:line="5" w:lineRule="exact"/>
        <w:rPr>
          <w:sz w:val="24"/>
          <w:szCs w:val="24"/>
          <w:color w:val="auto"/>
        </w:r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317-0290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15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40" w:type="dxa"/>
            <w:vAlign w:val="bottom"/>
          </w:tcPr>
          <w:p>
            <w:pPr>
              <w:spacing w:after="0"/>
              <w:rPr>
                <w:sz w:val="13"/>
                <w:szCs w:val="13"/>
                <w:color w:val="auto"/>
              </w:rPr>
            </w:pPr>
          </w:p>
        </w:tc>
        <w:tc>
          <w:tcPr>
            <w:tcW w:w="5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40" w:type="dxa"/>
            <w:vAlign w:val="bottom"/>
          </w:tcPr>
          <w:p>
            <w:pPr>
              <w:spacing w:after="0"/>
              <w:rPr>
                <w:sz w:val="15"/>
                <w:szCs w:val="15"/>
                <w:color w:val="auto"/>
              </w:rPr>
            </w:pPr>
          </w:p>
        </w:tc>
        <w:tc>
          <w:tcPr>
            <w:tcW w:w="5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par value $0.00001 per share</w:t>
            </w:r>
          </w:p>
        </w:tc>
        <w:tc>
          <w:tcPr>
            <w:tcW w:w="1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KLRA</w:t>
            </w:r>
          </w:p>
        </w:tc>
        <w:tc>
          <w:tcPr>
            <w:tcW w:w="140" w:type="dxa"/>
            <w:vAlign w:val="bottom"/>
          </w:tcPr>
          <w:p>
            <w:pPr>
              <w:spacing w:after="0"/>
              <w:rPr>
                <w:sz w:val="17"/>
                <w:szCs w:val="17"/>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16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6"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60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20, 2026, the registrant had 129,565,608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that involve substantial risks and uncertainties. All statements contained in this Quarterly Report on Form 10-Q that do not relate to matters of historical fact should be considered forward-looking statements, including, but not limited to, statements regarding our future results of operations and financial position, business strategy, product candidate development, prospective products, product candidate approvals, research and development activities and costs, future revenue, timing and likelihood of success of our business plans, plans and objectives of management, future results and timing of clinical trials, treatment potential of our product candidates, and the market potential of our product candidates. In some cases, you can identify forward-looking statements by terms such as “anticipate,” “believe,” “contemplate,” “continue,” “could,” “estimate,” “expect,” “intend,” “may,” “plan,” “potential,” “predict,” “project,” “target,” “should,” “will,” or “would” or the negative of these terms or other similar expressions, although not all forward-looking statements contain these words.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our business, the industry in which we operate and financial trends that we believe may affect our business, financial condition, results of operations and prospects.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and the following:</w:t>
      </w:r>
    </w:p>
    <w:p>
      <w:pPr>
        <w:spacing w:after="0" w:line="81" w:lineRule="exact"/>
        <w:rPr>
          <w:sz w:val="20"/>
          <w:szCs w:val="20"/>
          <w:color w:val="auto"/>
        </w:rPr>
      </w:pPr>
    </w:p>
    <w:p>
      <w:pPr>
        <w:ind w:left="380" w:hanging="372"/>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timing, progress and results of nonclinical studies and clinical trials for our current and future product candidates and the reporting and interpretation of data from those studies and trials;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our current product candidates and additional potential product candidates in our pipeline;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a specified and sufficient number of eligible patients to participate and remain in our clinical trials;</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 and approvals or of alternative regulatory pathways for our product candidates and any related restrictions, limitations or warnings in the label of an approved product candidate;</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scaled third-party manufacturing prior to commercial launch of our product candidates;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our clinical trials demonstrating safety and efficacy of our product candidates and other positive results;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announcement of interim, topline and preliminary results from clinical trials;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 candidates and to establish, manage, or expand our marketing, distribution, and manufacturing capabilities;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competitors and our industry and market acceptance of our current and future product candidates;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Hengrui License Agreement underlying our product candidates;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enter into future license agreements and collaborations and the terms of such future agreements;</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having accurately generated, collected, interpreted and reported data from certain nonclinical studies and clinical trials that were previously conducted for our product candidates;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cost-effectiveness of our products, if approved, in relation to alternative treatments and therapies;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highly qualified management, clinical and scientific personnel;</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JOBS Act or a smaller reporting company; and</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cash runway, estimates of our expenses, capital requirements and needs for additional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Quarterly Report on Form 10-Q and are subject to a number of risks, uncertainties and assumptions described in the section titled “Risk Factors” and elsewhere in this Quarterly Report on Form 10-Q. The events and circumstances reflected in our forward-looking statements may not be achieved or occur and actual results could differ materially from those projected in the forward-looking statements.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385"/>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Convertible Preferred Stock and Stockholders' Deficit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400" w:type="dxa"/>
            <w:vAlign w:val="bottom"/>
            <w:tcBorders>
              <w:left w:val="single" w:sz="8" w:color="0000FF"/>
            </w:tcBorders>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vMerge w:val="continue"/>
          </w:tcPr>
          <w:p>
            <w:pPr>
              <w:spacing w:after="0"/>
              <w:rPr>
                <w:sz w:val="24"/>
                <w:szCs w:val="24"/>
                <w:color w:val="auto"/>
              </w:rPr>
            </w:pP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742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980" w:type="dxa"/>
            <w:vAlign w:val="bottom"/>
            <w:gridSpan w:val="1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44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7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Kailera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111,826</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62,747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Non-current clinical deposits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624,756</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692,294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6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deficit</w:t>
            </w: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54,836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4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$0.00001 par value; 35,677,603 shares authorized at March 31,</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2026 and December 31, 2025; 35,677,603 shares issued and outstanding at March 31, 2026 and</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December 31, 2025; liquidation value of $356.8 million at March 31, 2026</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390,306</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64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$0.00001 par value; 43,084,539 shares authorized at March 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2026 and December 31, 2025; 43,084,539 shares issued and outstanding at March 31, 2026 and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602,058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602,058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31, 2025; liquidation value of $603.2 million at March 31, 2026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4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Common stock, $0.00001 par value; 105,384,000 shares authorized at March 31, 2026 and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31, 2025; 29,953 and 19,048 shares issued and outstanding at March 31, 2026 and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(447,533)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(368,668)</w:t>
            </w: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(432,088)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(356,458)</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624,756</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692,294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-4765675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-4765675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-3651250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-3634105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-2519680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Kailera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6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70,873</w:t>
            </w:r>
          </w:p>
        </w:tc>
        <w:tc>
          <w:tcPr>
            <w:tcW w:w="160" w:type="dxa"/>
            <w:vAlign w:val="bottom"/>
          </w:tcPr>
          <w:p>
            <w:pPr>
              <w:spacing w:after="0"/>
              <w:rPr>
                <w:sz w:val="18"/>
                <w:szCs w:val="18"/>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100" w:type="dxa"/>
            <w:vAlign w:val="bottom"/>
          </w:tcPr>
          <w:p>
            <w:pPr>
              <w:spacing w:after="0"/>
              <w:rPr>
                <w:sz w:val="18"/>
                <w:szCs w:val="18"/>
                <w:color w:val="auto"/>
              </w:rPr>
            </w:pPr>
          </w:p>
        </w:tc>
      </w:tr>
      <w:tr>
        <w:trPr>
          <w:trHeight w:val="216"/>
        </w:trPr>
        <w:tc>
          <w:tcPr>
            <w:tcW w:w="6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20,458</w:t>
            </w:r>
          </w:p>
        </w:tc>
        <w:tc>
          <w:tcPr>
            <w:tcW w:w="100" w:type="dxa"/>
            <w:vAlign w:val="bottom"/>
          </w:tcPr>
          <w:p>
            <w:pPr>
              <w:spacing w:after="0"/>
              <w:rPr>
                <w:sz w:val="18"/>
                <w:szCs w:val="18"/>
                <w:color w:val="auto"/>
              </w:rPr>
            </w:pPr>
          </w:p>
        </w:tc>
      </w:tr>
      <w:tr>
        <w:trPr>
          <w:trHeight w:val="20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(84,660)</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(20,458)</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2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8"/>
                <w:szCs w:val="18"/>
                <w:color w:val="auto"/>
              </w:rPr>
            </w:pPr>
          </w:p>
        </w:tc>
      </w:tr>
      <w:tr>
        <w:trPr>
          <w:trHeight w:val="209"/>
        </w:trPr>
        <w:tc>
          <w:tcPr>
            <w:tcW w:w="65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other income</w:t>
            </w:r>
          </w:p>
        </w:tc>
        <w:tc>
          <w:tcPr>
            <w:tcW w:w="12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6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(78,865)</w:t>
            </w: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(17,983)</w:t>
            </w:r>
          </w:p>
        </w:tc>
      </w:tr>
      <w:tr>
        <w:trPr>
          <w:trHeight w:val="20"/>
        </w:trPr>
        <w:tc>
          <w:tcPr>
            <w:tcW w:w="6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5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1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6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(79,626)</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(17,989)</w:t>
            </w:r>
          </w:p>
        </w:tc>
      </w:tr>
      <w:tr>
        <w:trPr>
          <w:trHeight w:val="20"/>
        </w:trPr>
        <w:tc>
          <w:tcPr>
            <w:tcW w:w="65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1200" w:type="dxa"/>
            <w:vAlign w:val="bottom"/>
          </w:tcPr>
          <w:p>
            <w:pPr>
              <w:spacing w:after="0"/>
              <w:rPr>
                <w:sz w:val="17"/>
                <w:szCs w:val="17"/>
                <w:color w:val="auto"/>
              </w:rPr>
            </w:pPr>
          </w:p>
        </w:tc>
        <w:tc>
          <w:tcPr>
            <w:tcW w:w="960" w:type="dxa"/>
            <w:vAlign w:val="bottom"/>
          </w:tcPr>
          <w:p>
            <w:pPr>
              <w:jc w:val="right"/>
              <w:ind w:right="78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(3,650)</w:t>
            </w:r>
          </w:p>
        </w:tc>
        <w:tc>
          <w:tcPr>
            <w:tcW w:w="1060" w:type="dxa"/>
            <w:vAlign w:val="bottom"/>
            <w:gridSpan w:val="2"/>
          </w:tcPr>
          <w:p>
            <w:pPr>
              <w:jc w:val="right"/>
              <w:ind w:right="8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(17,983)</w:t>
            </w:r>
          </w:p>
        </w:tc>
      </w:tr>
      <w:tr>
        <w:trPr>
          <w:trHeight w:val="20"/>
        </w:trPr>
        <w:tc>
          <w:tcPr>
            <w:tcW w:w="6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5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stock outstanding - basic and diluted</w:t>
            </w:r>
          </w:p>
        </w:tc>
        <w:tc>
          <w:tcPr>
            <w:tcW w:w="120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21,607</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-1790700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-942340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-334010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Kailera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stockholders’ deficit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80" w:type="dxa"/>
            <w:vAlign w:val="bottom"/>
          </w:tcPr>
          <w:p>
            <w:pPr>
              <w:spacing w:after="0"/>
              <w:rPr>
                <w:sz w:val="11"/>
                <w:szCs w:val="11"/>
                <w:color w:val="auto"/>
              </w:rPr>
            </w:pPr>
          </w:p>
        </w:tc>
        <w:tc>
          <w:tcPr>
            <w:tcW w:w="920" w:type="dxa"/>
            <w:vAlign w:val="bottom"/>
            <w:gridSpan w:val="3"/>
          </w:tcPr>
          <w:p>
            <w:pPr>
              <w:jc w:val="center"/>
              <w:ind w:left="286"/>
              <w:spacing w:after="0"/>
              <w:rPr>
                <w:sz w:val="20"/>
                <w:szCs w:val="20"/>
                <w:color w:val="auto"/>
              </w:rPr>
            </w:pPr>
            <w:r>
              <w:rPr>
                <w:rFonts w:ascii="Times New Roman" w:cs="Times New Roman" w:eastAsia="Times New Roman" w:hAnsi="Times New Roman"/>
                <w:sz w:val="11"/>
                <w:szCs w:val="11"/>
                <w:b w:val="1"/>
                <w:bCs w:val="1"/>
                <w:color w:val="auto"/>
                <w:w w:val="95"/>
              </w:rPr>
              <w:t>Series A-1</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Series A-2</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Series A-2 (NV)</w:t>
            </w:r>
          </w:p>
        </w:tc>
        <w:tc>
          <w:tcPr>
            <w:tcW w:w="120" w:type="dxa"/>
            <w:vAlign w:val="bottom"/>
          </w:tcPr>
          <w:p>
            <w:pPr>
              <w:spacing w:after="0"/>
              <w:rPr>
                <w:sz w:val="11"/>
                <w:szCs w:val="11"/>
                <w:color w:val="auto"/>
              </w:rPr>
            </w:pPr>
          </w:p>
        </w:tc>
        <w:tc>
          <w:tcPr>
            <w:tcW w:w="860" w:type="dxa"/>
            <w:vAlign w:val="bottom"/>
            <w:gridSpan w:val="3"/>
          </w:tcPr>
          <w:p>
            <w:pPr>
              <w:jc w:val="center"/>
              <w:ind w:left="286"/>
              <w:spacing w:after="0"/>
              <w:rPr>
                <w:sz w:val="20"/>
                <w:szCs w:val="20"/>
                <w:color w:val="auto"/>
              </w:rPr>
            </w:pPr>
            <w:r>
              <w:rPr>
                <w:rFonts w:ascii="Times New Roman" w:cs="Times New Roman" w:eastAsia="Times New Roman" w:hAnsi="Times New Roman"/>
                <w:sz w:val="11"/>
                <w:szCs w:val="11"/>
                <w:b w:val="1"/>
                <w:bCs w:val="1"/>
                <w:color w:val="auto"/>
                <w:w w:val="94"/>
              </w:rPr>
              <w:t>Series B</w:t>
            </w:r>
          </w:p>
        </w:tc>
        <w:tc>
          <w:tcPr>
            <w:tcW w:w="3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920" w:type="dxa"/>
            <w:vAlign w:val="bottom"/>
            <w:gridSpan w:val="3"/>
          </w:tcPr>
          <w:p>
            <w:pPr>
              <w:jc w:val="center"/>
              <w:ind w:left="306"/>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convertible</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left="266"/>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convertible</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convertible</w:t>
            </w:r>
          </w:p>
        </w:tc>
        <w:tc>
          <w:tcPr>
            <w:tcW w:w="120" w:type="dxa"/>
            <w:vAlign w:val="bottom"/>
          </w:tcPr>
          <w:p>
            <w:pPr>
              <w:spacing w:after="0"/>
              <w:rPr>
                <w:sz w:val="10"/>
                <w:szCs w:val="10"/>
                <w:color w:val="auto"/>
              </w:rPr>
            </w:pPr>
          </w:p>
        </w:tc>
        <w:tc>
          <w:tcPr>
            <w:tcW w:w="860" w:type="dxa"/>
            <w:vAlign w:val="bottom"/>
            <w:gridSpan w:val="3"/>
          </w:tcPr>
          <w:p>
            <w:pPr>
              <w:jc w:val="center"/>
              <w:ind w:left="286"/>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convertible</w:t>
            </w:r>
          </w:p>
        </w:tc>
        <w:tc>
          <w:tcPr>
            <w:tcW w:w="3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18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other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preferred stock</w:t>
            </w:r>
          </w:p>
        </w:tc>
        <w:tc>
          <w:tcPr>
            <w:tcW w:w="100" w:type="dxa"/>
            <w:vAlign w:val="bottom"/>
          </w:tcPr>
          <w:p>
            <w:pPr>
              <w:spacing w:after="0"/>
              <w:rPr>
                <w:sz w:val="11"/>
                <w:szCs w:val="11"/>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preferred stock</w:t>
            </w:r>
          </w:p>
        </w:tc>
        <w:tc>
          <w:tcPr>
            <w:tcW w:w="100" w:type="dxa"/>
            <w:vAlign w:val="bottom"/>
          </w:tcPr>
          <w:p>
            <w:pPr>
              <w:spacing w:after="0"/>
              <w:rPr>
                <w:sz w:val="11"/>
                <w:szCs w:val="11"/>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preferred stock</w:t>
            </w:r>
          </w:p>
        </w:tc>
        <w:tc>
          <w:tcPr>
            <w:tcW w:w="120" w:type="dxa"/>
            <w:vAlign w:val="bottom"/>
          </w:tcPr>
          <w:p>
            <w:pPr>
              <w:spacing w:after="0"/>
              <w:rPr>
                <w:sz w:val="11"/>
                <w:szCs w:val="11"/>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preferred stock</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18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3"/>
              </w:rPr>
              <w:t>comprehensive</w:t>
            </w:r>
          </w:p>
        </w:tc>
        <w:tc>
          <w:tcPr>
            <w:tcW w:w="40" w:type="dxa"/>
            <w:vAlign w:val="bottom"/>
          </w:tcPr>
          <w:p>
            <w:pPr>
              <w:spacing w:after="0"/>
              <w:rPr>
                <w:sz w:val="11"/>
                <w:szCs w:val="11"/>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1"/>
                <w:szCs w:val="11"/>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15"/>
        </w:trPr>
        <w:tc>
          <w:tcPr>
            <w:tcW w:w="1380" w:type="dxa"/>
            <w:vAlign w:val="bottom"/>
          </w:tcPr>
          <w:p>
            <w:pPr>
              <w:spacing w:after="0"/>
              <w:rPr>
                <w:sz w:val="10"/>
                <w:szCs w:val="10"/>
                <w:color w:val="auto"/>
              </w:rPr>
            </w:pPr>
          </w:p>
        </w:tc>
        <w:tc>
          <w:tcPr>
            <w:tcW w:w="620" w:type="dxa"/>
            <w:vAlign w:val="bottom"/>
            <w:tcBorders>
              <w:bottom w:val="single" w:sz="8" w:color="auto"/>
            </w:tcBorders>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0"/>
                <w:szCs w:val="10"/>
                <w:color w:val="auto"/>
              </w:rPr>
            </w:pPr>
          </w:p>
        </w:tc>
        <w:tc>
          <w:tcPr>
            <w:tcW w:w="560" w:type="dxa"/>
            <w:vAlign w:val="bottom"/>
            <w:tcBorders>
              <w:bottom w:val="single" w:sz="8" w:color="auto"/>
            </w:tcBorders>
            <w:gridSpan w:val="2"/>
          </w:tcPr>
          <w:p>
            <w:pPr>
              <w:jc w:val="right"/>
              <w:ind w:right="4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0"/>
                <w:szCs w:val="10"/>
                <w:color w:val="auto"/>
              </w:rPr>
            </w:pPr>
          </w:p>
        </w:tc>
        <w:tc>
          <w:tcPr>
            <w:tcW w:w="44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10"/>
                <w:szCs w:val="10"/>
                <w:color w:val="auto"/>
              </w:rPr>
            </w:pPr>
          </w:p>
        </w:tc>
        <w:tc>
          <w:tcPr>
            <w:tcW w:w="54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0"/>
                <w:szCs w:val="10"/>
                <w:color w:val="auto"/>
              </w:rPr>
            </w:pPr>
          </w:p>
        </w:tc>
        <w:tc>
          <w:tcPr>
            <w:tcW w:w="42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0"/>
                <w:szCs w:val="10"/>
                <w:color w:val="auto"/>
              </w:rPr>
            </w:pPr>
          </w:p>
        </w:tc>
        <w:tc>
          <w:tcPr>
            <w:tcW w:w="640" w:type="dxa"/>
            <w:vAlign w:val="bottom"/>
            <w:tcBorders>
              <w:bottom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0"/>
                <w:szCs w:val="10"/>
                <w:color w:val="auto"/>
              </w:rPr>
            </w:pPr>
          </w:p>
        </w:tc>
        <w:tc>
          <w:tcPr>
            <w:tcW w:w="480" w:type="dxa"/>
            <w:vAlign w:val="bottom"/>
            <w:tcBorders>
              <w:bottom w:val="single" w:sz="8" w:color="auto"/>
            </w:tcBorders>
            <w:gridSpan w:val="2"/>
          </w:tcPr>
          <w:p>
            <w:pPr>
              <w:jc w:val="right"/>
              <w:ind w:right="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0"/>
                <w:szCs w:val="10"/>
                <w:color w:val="auto"/>
              </w:rPr>
            </w:pPr>
          </w:p>
        </w:tc>
        <w:tc>
          <w:tcPr>
            <w:tcW w:w="480" w:type="dxa"/>
            <w:vAlign w:val="bottom"/>
            <w:tcBorders>
              <w:bottom w:val="single" w:sz="8" w:color="auto"/>
            </w:tcBorders>
            <w:gridSpan w:val="2"/>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80" w:type="dxa"/>
            <w:vAlign w:val="bottom"/>
          </w:tcPr>
          <w:p>
            <w:pPr>
              <w:spacing w:after="0"/>
              <w:rPr>
                <w:sz w:val="10"/>
                <w:szCs w:val="10"/>
                <w:color w:val="auto"/>
              </w:rPr>
            </w:pPr>
          </w:p>
        </w:tc>
        <w:tc>
          <w:tcPr>
            <w:tcW w:w="700" w:type="dxa"/>
            <w:vAlign w:val="bottom"/>
            <w:tcBorders>
              <w:bottom w:val="single" w:sz="8" w:color="auto"/>
            </w:tcBorders>
          </w:tcPr>
          <w:p>
            <w:pPr>
              <w:jc w:val="center"/>
              <w:ind w:right="6"/>
              <w:spacing w:after="0" w:line="115" w:lineRule="exact"/>
              <w:rPr>
                <w:sz w:val="20"/>
                <w:szCs w:val="20"/>
                <w:color w:val="auto"/>
              </w:rPr>
            </w:pPr>
            <w:r>
              <w:rPr>
                <w:rFonts w:ascii="Times New Roman" w:cs="Times New Roman" w:eastAsia="Times New Roman" w:hAnsi="Times New Roman"/>
                <w:sz w:val="11"/>
                <w:szCs w:val="11"/>
                <w:b w:val="1"/>
                <w:bCs w:val="1"/>
                <w:color w:val="auto"/>
                <w:w w:val="98"/>
              </w:rPr>
              <w:t>(loss) income</w:t>
            </w:r>
          </w:p>
        </w:tc>
        <w:tc>
          <w:tcPr>
            <w:tcW w:w="1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6"/>
              <w:spacing w:after="0" w:line="115" w:lineRule="exact"/>
              <w:rPr>
                <w:sz w:val="20"/>
                <w:szCs w:val="20"/>
                <w:color w:val="auto"/>
              </w:rPr>
            </w:pPr>
            <w:r>
              <w:rPr>
                <w:rFonts w:ascii="Times New Roman" w:cs="Times New Roman" w:eastAsia="Times New Roman" w:hAnsi="Times New Roman"/>
                <w:sz w:val="11"/>
                <w:szCs w:val="11"/>
                <w:b w:val="1"/>
                <w:bCs w:val="1"/>
                <w:color w:val="auto"/>
                <w:w w:val="95"/>
              </w:rPr>
              <w:t>deficit</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46"/>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380" w:type="dxa"/>
            <w:vAlign w:val="bottom"/>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color w:val="auto"/>
              </w:rPr>
              <w:t>December 31, 2024</w:t>
            </w: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30,000,000</w:t>
            </w:r>
          </w:p>
        </w:tc>
        <w:tc>
          <w:tcPr>
            <w:tcW w:w="300" w:type="dxa"/>
            <w:vAlign w:val="bottom"/>
            <w:gridSpan w:val="2"/>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294,358</w:t>
            </w:r>
          </w:p>
        </w:tc>
        <w:tc>
          <w:tcPr>
            <w:tcW w:w="7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4,968,789</w:t>
            </w:r>
          </w:p>
        </w:tc>
        <w:tc>
          <w:tcPr>
            <w:tcW w:w="22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92"/>
              </w:rPr>
              <w:t>84,501</w:t>
            </w:r>
          </w:p>
        </w:tc>
        <w:tc>
          <w:tcPr>
            <w:tcW w:w="64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708,814</w:t>
            </w:r>
          </w:p>
        </w:tc>
        <w:tc>
          <w:tcPr>
            <w:tcW w:w="2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11,447</w:t>
            </w: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6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w:t>
            </w:r>
          </w:p>
        </w:tc>
        <w:tc>
          <w:tcPr>
            <w:tcW w:w="400" w:type="dxa"/>
            <w:vAlign w:val="bottom"/>
            <w:gridSpan w:val="2"/>
            <w:shd w:val="clear" w:color="auto" w:fill="CFF0FC"/>
          </w:tcPr>
          <w:p>
            <w:pPr>
              <w:jc w:val="right"/>
              <w:ind w:right="18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ind w:left="6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941</w:t>
            </w:r>
          </w:p>
        </w:tc>
        <w:tc>
          <w:tcPr>
            <w:tcW w:w="18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right w:val="single" w:sz="8" w:color="CFF0FC"/>
            </w:tcBorders>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(219,713)</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(218,772)</w:t>
            </w:r>
          </w:p>
        </w:tc>
        <w:tc>
          <w:tcPr>
            <w:tcW w:w="0" w:type="dxa"/>
            <w:vAlign w:val="bottom"/>
          </w:tcPr>
          <w:p>
            <w:pPr>
              <w:spacing w:after="0"/>
              <w:rPr>
                <w:sz w:val="1"/>
                <w:szCs w:val="1"/>
                <w:color w:val="auto"/>
              </w:rPr>
            </w:pPr>
          </w:p>
        </w:tc>
      </w:tr>
      <w:tr>
        <w:trPr>
          <w:trHeight w:val="108"/>
        </w:trPr>
        <w:tc>
          <w:tcPr>
            <w:tcW w:w="13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8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compensation</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expense</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1,523</w:t>
            </w:r>
          </w:p>
        </w:tc>
        <w:tc>
          <w:tcPr>
            <w:tcW w:w="1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Unrealized loss on</w:t>
            </w: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marketable securities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1"/>
                <w:szCs w:val="11"/>
                <w:color w:val="auto"/>
              </w:rPr>
            </w:pPr>
          </w:p>
        </w:tc>
        <w:tc>
          <w:tcPr>
            <w:tcW w:w="82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(6)</w:t>
            </w:r>
          </w:p>
        </w:tc>
        <w:tc>
          <w:tcPr>
            <w:tcW w:w="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22"/>
        </w:trPr>
        <w:tc>
          <w:tcPr>
            <w:tcW w:w="13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(17,983)</w:t>
            </w:r>
          </w:p>
        </w:tc>
        <w:tc>
          <w:tcPr>
            <w:tcW w:w="80" w:type="dxa"/>
            <w:vAlign w:val="bottom"/>
          </w:tcPr>
          <w:p>
            <w:pPr>
              <w:spacing w:after="0"/>
              <w:rPr>
                <w:sz w:val="10"/>
                <w:szCs w:val="10"/>
                <w:color w:val="auto"/>
              </w:rPr>
            </w:pPr>
          </w:p>
        </w:tc>
        <w:tc>
          <w:tcPr>
            <w:tcW w:w="8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(17,983)</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80" w:type="dxa"/>
            <w:vAlign w:val="bottom"/>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color w:val="auto"/>
              </w:rPr>
              <w:t>March 31, 2025</w:t>
            </w: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30,000,000</w:t>
            </w:r>
          </w:p>
        </w:tc>
        <w:tc>
          <w:tcPr>
            <w:tcW w:w="300" w:type="dxa"/>
            <w:vAlign w:val="bottom"/>
            <w:gridSpan w:val="2"/>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294,358</w:t>
            </w:r>
          </w:p>
        </w:tc>
        <w:tc>
          <w:tcPr>
            <w:tcW w:w="7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4,968,789</w:t>
            </w:r>
          </w:p>
        </w:tc>
        <w:tc>
          <w:tcPr>
            <w:tcW w:w="22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92"/>
              </w:rPr>
              <w:t>84,501</w:t>
            </w:r>
          </w:p>
        </w:tc>
        <w:tc>
          <w:tcPr>
            <w:tcW w:w="64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708,814</w:t>
            </w:r>
          </w:p>
        </w:tc>
        <w:tc>
          <w:tcPr>
            <w:tcW w:w="2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11,447</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6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w:t>
            </w:r>
          </w:p>
        </w:tc>
        <w:tc>
          <w:tcPr>
            <w:tcW w:w="400" w:type="dxa"/>
            <w:vAlign w:val="bottom"/>
            <w:gridSpan w:val="2"/>
            <w:shd w:val="clear" w:color="auto" w:fill="CFF0FC"/>
          </w:tcPr>
          <w:p>
            <w:pPr>
              <w:jc w:val="right"/>
              <w:ind w:right="18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ind w:left="6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2,464</w:t>
            </w:r>
          </w:p>
        </w:tc>
        <w:tc>
          <w:tcPr>
            <w:tcW w:w="18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right w:val="single" w:sz="8" w:color="CFF0FC"/>
            </w:tcBorders>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(6)</w:t>
            </w:r>
          </w:p>
        </w:tc>
        <w:tc>
          <w:tcPr>
            <w:tcW w:w="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(237,696)</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(235,238)</w:t>
            </w:r>
          </w:p>
        </w:tc>
        <w:tc>
          <w:tcPr>
            <w:tcW w:w="0" w:type="dxa"/>
            <w:vAlign w:val="bottom"/>
          </w:tcPr>
          <w:p>
            <w:pPr>
              <w:spacing w:after="0"/>
              <w:rPr>
                <w:sz w:val="1"/>
                <w:szCs w:val="1"/>
                <w:color w:val="auto"/>
              </w:rPr>
            </w:pPr>
          </w:p>
        </w:tc>
      </w:tr>
      <w:tr>
        <w:trPr>
          <w:trHeight w:val="20"/>
        </w:trPr>
        <w:tc>
          <w:tcPr>
            <w:tcW w:w="138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80" w:type="dxa"/>
            <w:vAlign w:val="bottom"/>
          </w:tcPr>
          <w:p>
            <w:pPr>
              <w:spacing w:after="0"/>
              <w:rPr>
                <w:sz w:val="19"/>
                <w:szCs w:val="19"/>
                <w:color w:val="auto"/>
              </w:rPr>
            </w:pPr>
          </w:p>
        </w:tc>
        <w:tc>
          <w:tcPr>
            <w:tcW w:w="920" w:type="dxa"/>
            <w:vAlign w:val="bottom"/>
            <w:gridSpan w:val="3"/>
            <w:vMerge w:val="restart"/>
          </w:tcPr>
          <w:p>
            <w:pPr>
              <w:jc w:val="center"/>
              <w:ind w:left="286"/>
              <w:spacing w:after="0"/>
              <w:rPr>
                <w:sz w:val="20"/>
                <w:szCs w:val="20"/>
                <w:color w:val="auto"/>
              </w:rPr>
            </w:pPr>
            <w:r>
              <w:rPr>
                <w:rFonts w:ascii="Times New Roman" w:cs="Times New Roman" w:eastAsia="Times New Roman" w:hAnsi="Times New Roman"/>
                <w:sz w:val="11"/>
                <w:szCs w:val="11"/>
                <w:b w:val="1"/>
                <w:bCs w:val="1"/>
                <w:color w:val="auto"/>
                <w:w w:val="95"/>
              </w:rPr>
              <w:t>Series A-1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Series A-2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Series A-2 (NV)</w:t>
            </w:r>
          </w:p>
        </w:tc>
        <w:tc>
          <w:tcPr>
            <w:tcW w:w="120" w:type="dxa"/>
            <w:vAlign w:val="bottom"/>
          </w:tcPr>
          <w:p>
            <w:pPr>
              <w:spacing w:after="0"/>
              <w:rPr>
                <w:sz w:val="19"/>
                <w:szCs w:val="19"/>
                <w:color w:val="auto"/>
              </w:rPr>
            </w:pPr>
          </w:p>
        </w:tc>
        <w:tc>
          <w:tcPr>
            <w:tcW w:w="860" w:type="dxa"/>
            <w:vAlign w:val="bottom"/>
            <w:gridSpan w:val="3"/>
            <w:vMerge w:val="restart"/>
          </w:tcPr>
          <w:p>
            <w:pPr>
              <w:jc w:val="center"/>
              <w:ind w:left="286"/>
              <w:spacing w:after="0"/>
              <w:rPr>
                <w:sz w:val="20"/>
                <w:szCs w:val="20"/>
                <w:color w:val="auto"/>
              </w:rPr>
            </w:pPr>
            <w:r>
              <w:rPr>
                <w:rFonts w:ascii="Times New Roman" w:cs="Times New Roman" w:eastAsia="Times New Roman" w:hAnsi="Times New Roman"/>
                <w:sz w:val="11"/>
                <w:szCs w:val="11"/>
                <w:b w:val="1"/>
                <w:bCs w:val="1"/>
                <w:color w:val="auto"/>
                <w:w w:val="94"/>
              </w:rPr>
              <w:t>Series B</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920" w:type="dxa"/>
            <w:vAlign w:val="bottom"/>
            <w:gridSpan w:val="3"/>
          </w:tcPr>
          <w:p>
            <w:pPr>
              <w:jc w:val="center"/>
              <w:ind w:left="306"/>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convertible</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left="266"/>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convertible</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convertible</w:t>
            </w:r>
          </w:p>
        </w:tc>
        <w:tc>
          <w:tcPr>
            <w:tcW w:w="120" w:type="dxa"/>
            <w:vAlign w:val="bottom"/>
          </w:tcPr>
          <w:p>
            <w:pPr>
              <w:spacing w:after="0"/>
              <w:rPr>
                <w:sz w:val="10"/>
                <w:szCs w:val="10"/>
                <w:color w:val="auto"/>
              </w:rPr>
            </w:pPr>
          </w:p>
        </w:tc>
        <w:tc>
          <w:tcPr>
            <w:tcW w:w="860" w:type="dxa"/>
            <w:vAlign w:val="bottom"/>
            <w:gridSpan w:val="3"/>
          </w:tcPr>
          <w:p>
            <w:pPr>
              <w:jc w:val="center"/>
              <w:ind w:left="286"/>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convertible</w:t>
            </w:r>
          </w:p>
        </w:tc>
        <w:tc>
          <w:tcPr>
            <w:tcW w:w="3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18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other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preferred stock</w:t>
            </w:r>
          </w:p>
        </w:tc>
        <w:tc>
          <w:tcPr>
            <w:tcW w:w="100" w:type="dxa"/>
            <w:vAlign w:val="bottom"/>
          </w:tcPr>
          <w:p>
            <w:pPr>
              <w:spacing w:after="0"/>
              <w:rPr>
                <w:sz w:val="11"/>
                <w:szCs w:val="11"/>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preferred stock</w:t>
            </w:r>
          </w:p>
        </w:tc>
        <w:tc>
          <w:tcPr>
            <w:tcW w:w="100" w:type="dxa"/>
            <w:vAlign w:val="bottom"/>
          </w:tcPr>
          <w:p>
            <w:pPr>
              <w:spacing w:after="0"/>
              <w:rPr>
                <w:sz w:val="11"/>
                <w:szCs w:val="11"/>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preferred stock</w:t>
            </w:r>
          </w:p>
        </w:tc>
        <w:tc>
          <w:tcPr>
            <w:tcW w:w="120" w:type="dxa"/>
            <w:vAlign w:val="bottom"/>
          </w:tcPr>
          <w:p>
            <w:pPr>
              <w:spacing w:after="0"/>
              <w:rPr>
                <w:sz w:val="11"/>
                <w:szCs w:val="11"/>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preferred stock</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18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3"/>
              </w:rPr>
              <w:t>comprehensive</w:t>
            </w:r>
          </w:p>
        </w:tc>
        <w:tc>
          <w:tcPr>
            <w:tcW w:w="40" w:type="dxa"/>
            <w:vAlign w:val="bottom"/>
          </w:tcPr>
          <w:p>
            <w:pPr>
              <w:spacing w:after="0"/>
              <w:rPr>
                <w:sz w:val="11"/>
                <w:szCs w:val="11"/>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1"/>
                <w:szCs w:val="11"/>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15"/>
        </w:trPr>
        <w:tc>
          <w:tcPr>
            <w:tcW w:w="1380" w:type="dxa"/>
            <w:vAlign w:val="bottom"/>
          </w:tcPr>
          <w:p>
            <w:pPr>
              <w:spacing w:after="0"/>
              <w:rPr>
                <w:sz w:val="10"/>
                <w:szCs w:val="10"/>
                <w:color w:val="auto"/>
              </w:rPr>
            </w:pPr>
          </w:p>
        </w:tc>
        <w:tc>
          <w:tcPr>
            <w:tcW w:w="620" w:type="dxa"/>
            <w:vAlign w:val="bottom"/>
            <w:tcBorders>
              <w:bottom w:val="single" w:sz="8" w:color="auto"/>
            </w:tcBorders>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0"/>
                <w:szCs w:val="10"/>
                <w:color w:val="auto"/>
              </w:rPr>
            </w:pPr>
          </w:p>
        </w:tc>
        <w:tc>
          <w:tcPr>
            <w:tcW w:w="560" w:type="dxa"/>
            <w:vAlign w:val="bottom"/>
            <w:tcBorders>
              <w:bottom w:val="single" w:sz="8" w:color="auto"/>
            </w:tcBorders>
            <w:gridSpan w:val="2"/>
          </w:tcPr>
          <w:p>
            <w:pPr>
              <w:jc w:val="right"/>
              <w:ind w:right="4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0"/>
                <w:szCs w:val="10"/>
                <w:color w:val="auto"/>
              </w:rPr>
            </w:pPr>
          </w:p>
        </w:tc>
        <w:tc>
          <w:tcPr>
            <w:tcW w:w="660" w:type="dxa"/>
            <w:vAlign w:val="bottom"/>
            <w:tcBorders>
              <w:bottom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0"/>
                <w:szCs w:val="10"/>
                <w:color w:val="auto"/>
              </w:rPr>
            </w:pPr>
          </w:p>
        </w:tc>
        <w:tc>
          <w:tcPr>
            <w:tcW w:w="44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10"/>
                <w:szCs w:val="10"/>
                <w:color w:val="auto"/>
              </w:rPr>
            </w:pPr>
          </w:p>
        </w:tc>
        <w:tc>
          <w:tcPr>
            <w:tcW w:w="54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0"/>
                <w:szCs w:val="10"/>
                <w:color w:val="auto"/>
              </w:rPr>
            </w:pPr>
          </w:p>
        </w:tc>
        <w:tc>
          <w:tcPr>
            <w:tcW w:w="42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0"/>
                <w:szCs w:val="10"/>
                <w:color w:val="auto"/>
              </w:rPr>
            </w:pPr>
          </w:p>
        </w:tc>
        <w:tc>
          <w:tcPr>
            <w:tcW w:w="640" w:type="dxa"/>
            <w:vAlign w:val="bottom"/>
            <w:tcBorders>
              <w:bottom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0"/>
                <w:szCs w:val="10"/>
                <w:color w:val="auto"/>
              </w:rPr>
            </w:pPr>
          </w:p>
        </w:tc>
        <w:tc>
          <w:tcPr>
            <w:tcW w:w="480" w:type="dxa"/>
            <w:vAlign w:val="bottom"/>
            <w:tcBorders>
              <w:bottom w:val="single" w:sz="8" w:color="auto"/>
            </w:tcBorders>
            <w:gridSpan w:val="2"/>
          </w:tcPr>
          <w:p>
            <w:pPr>
              <w:jc w:val="right"/>
              <w:ind w:right="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0"/>
                <w:szCs w:val="10"/>
                <w:color w:val="auto"/>
              </w:rPr>
            </w:pPr>
          </w:p>
        </w:tc>
        <w:tc>
          <w:tcPr>
            <w:tcW w:w="480" w:type="dxa"/>
            <w:vAlign w:val="bottom"/>
            <w:tcBorders>
              <w:bottom w:val="single" w:sz="8" w:color="auto"/>
            </w:tcBorders>
            <w:gridSpan w:val="2"/>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80" w:type="dxa"/>
            <w:vAlign w:val="bottom"/>
          </w:tcPr>
          <w:p>
            <w:pPr>
              <w:spacing w:after="0"/>
              <w:rPr>
                <w:sz w:val="10"/>
                <w:szCs w:val="10"/>
                <w:color w:val="auto"/>
              </w:rPr>
            </w:pPr>
          </w:p>
        </w:tc>
        <w:tc>
          <w:tcPr>
            <w:tcW w:w="700" w:type="dxa"/>
            <w:vAlign w:val="bottom"/>
            <w:tcBorders>
              <w:bottom w:val="single" w:sz="8" w:color="auto"/>
            </w:tcBorders>
          </w:tcPr>
          <w:p>
            <w:pPr>
              <w:jc w:val="center"/>
              <w:ind w:right="6"/>
              <w:spacing w:after="0" w:line="115" w:lineRule="exact"/>
              <w:rPr>
                <w:sz w:val="20"/>
                <w:szCs w:val="20"/>
                <w:color w:val="auto"/>
              </w:rPr>
            </w:pPr>
            <w:r>
              <w:rPr>
                <w:rFonts w:ascii="Times New Roman" w:cs="Times New Roman" w:eastAsia="Times New Roman" w:hAnsi="Times New Roman"/>
                <w:sz w:val="11"/>
                <w:szCs w:val="11"/>
                <w:b w:val="1"/>
                <w:bCs w:val="1"/>
                <w:color w:val="auto"/>
                <w:w w:val="98"/>
              </w:rPr>
              <w:t>(loss) income</w:t>
            </w:r>
          </w:p>
        </w:tc>
        <w:tc>
          <w:tcPr>
            <w:tcW w:w="1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6"/>
              <w:spacing w:after="0" w:line="115" w:lineRule="exact"/>
              <w:rPr>
                <w:sz w:val="20"/>
                <w:szCs w:val="20"/>
                <w:color w:val="auto"/>
              </w:rPr>
            </w:pPr>
            <w:r>
              <w:rPr>
                <w:rFonts w:ascii="Times New Roman" w:cs="Times New Roman" w:eastAsia="Times New Roman" w:hAnsi="Times New Roman"/>
                <w:sz w:val="11"/>
                <w:szCs w:val="11"/>
                <w:b w:val="1"/>
                <w:bCs w:val="1"/>
                <w:color w:val="auto"/>
                <w:w w:val="95"/>
              </w:rPr>
              <w:t>deficit</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46"/>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380" w:type="dxa"/>
            <w:vAlign w:val="bottom"/>
            <w:shd w:val="clear" w:color="auto" w:fill="CFF0FC"/>
          </w:tcPr>
          <w:p>
            <w:pPr>
              <w:ind w:left="40"/>
              <w:spacing w:after="0" w:line="115" w:lineRule="exact"/>
              <w:rPr>
                <w:sz w:val="20"/>
                <w:szCs w:val="20"/>
                <w:color w:val="auto"/>
              </w:rPr>
            </w:pPr>
            <w:r>
              <w:rPr>
                <w:rFonts w:ascii="Times New Roman" w:cs="Times New Roman" w:eastAsia="Times New Roman" w:hAnsi="Times New Roman"/>
                <w:sz w:val="11"/>
                <w:szCs w:val="11"/>
                <w:color w:val="auto"/>
              </w:rPr>
              <w:t>December 31, 2025</w:t>
            </w: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30,000,000</w:t>
            </w:r>
          </w:p>
        </w:tc>
        <w:tc>
          <w:tcPr>
            <w:tcW w:w="300" w:type="dxa"/>
            <w:vAlign w:val="bottom"/>
            <w:gridSpan w:val="2"/>
            <w:shd w:val="clear" w:color="auto" w:fill="CFF0FC"/>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294,358</w:t>
            </w:r>
          </w:p>
        </w:tc>
        <w:tc>
          <w:tcPr>
            <w:tcW w:w="7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4,968,789</w:t>
            </w:r>
          </w:p>
        </w:tc>
        <w:tc>
          <w:tcPr>
            <w:tcW w:w="22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92"/>
              </w:rPr>
              <w:t>84,501</w:t>
            </w:r>
          </w:p>
        </w:tc>
        <w:tc>
          <w:tcPr>
            <w:tcW w:w="64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708,814</w:t>
            </w:r>
          </w:p>
        </w:tc>
        <w:tc>
          <w:tcPr>
            <w:tcW w:w="2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11,447</w:t>
            </w:r>
          </w:p>
        </w:tc>
        <w:tc>
          <w:tcPr>
            <w:tcW w:w="7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43,084,539</w:t>
            </w:r>
          </w:p>
        </w:tc>
        <w:tc>
          <w:tcPr>
            <w:tcW w:w="22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89"/>
              </w:rPr>
              <w:t>602,058</w:t>
            </w:r>
          </w:p>
        </w:tc>
        <w:tc>
          <w:tcPr>
            <w:tcW w:w="120" w:type="dxa"/>
            <w:vAlign w:val="bottom"/>
            <w:tcBorders>
              <w:right w:val="single" w:sz="8" w:color="auto"/>
            </w:tcBorders>
            <w:shd w:val="clear" w:color="auto" w:fill="CFF0FC"/>
          </w:tcPr>
          <w:p>
            <w:pPr>
              <w:spacing w:after="0"/>
              <w:rPr>
                <w:sz w:val="10"/>
                <w:szCs w:val="10"/>
                <w:color w:val="auto"/>
              </w:rPr>
            </w:pPr>
          </w:p>
        </w:tc>
        <w:tc>
          <w:tcPr>
            <w:tcW w:w="6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19,048</w:t>
            </w:r>
          </w:p>
        </w:tc>
        <w:tc>
          <w:tcPr>
            <w:tcW w:w="400" w:type="dxa"/>
            <w:vAlign w:val="bottom"/>
            <w:gridSpan w:val="2"/>
            <w:shd w:val="clear" w:color="auto" w:fill="CFF0FC"/>
          </w:tcPr>
          <w:p>
            <w:pPr>
              <w:jc w:val="right"/>
              <w:ind w:right="18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ind w:left="6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11,981</w:t>
            </w:r>
          </w:p>
        </w:tc>
        <w:tc>
          <w:tcPr>
            <w:tcW w:w="18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229</w:t>
            </w:r>
          </w:p>
        </w:tc>
        <w:tc>
          <w:tcPr>
            <w:tcW w:w="12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(368,668)</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(356,458)</w:t>
            </w:r>
          </w:p>
        </w:tc>
        <w:tc>
          <w:tcPr>
            <w:tcW w:w="0" w:type="dxa"/>
            <w:vAlign w:val="bottom"/>
          </w:tcPr>
          <w:p>
            <w:pPr>
              <w:spacing w:after="0"/>
              <w:rPr>
                <w:sz w:val="1"/>
                <w:szCs w:val="1"/>
                <w:color w:val="auto"/>
              </w:rPr>
            </w:pPr>
          </w:p>
        </w:tc>
      </w:tr>
      <w:tr>
        <w:trPr>
          <w:trHeight w:val="108"/>
        </w:trPr>
        <w:tc>
          <w:tcPr>
            <w:tcW w:w="13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Exercise of stock</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options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10,905</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compensation expense</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3,939</w:t>
            </w:r>
          </w:p>
        </w:tc>
        <w:tc>
          <w:tcPr>
            <w:tcW w:w="180" w:type="dxa"/>
            <w:vAlign w:val="bottom"/>
            <w:tcBorders>
              <w:right w:val="single" w:sz="8" w:color="CFF0FC"/>
            </w:tcBorders>
            <w:shd w:val="clear" w:color="auto" w:fill="CFF0FC"/>
          </w:tcPr>
          <w:p>
            <w:pPr>
              <w:spacing w:after="0"/>
              <w:rPr>
                <w:sz w:val="11"/>
                <w:szCs w:val="11"/>
                <w:color w:val="auto"/>
              </w:rPr>
            </w:pPr>
          </w:p>
        </w:tc>
        <w:tc>
          <w:tcPr>
            <w:tcW w:w="8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3,939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Unrealized loss on</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marketable securities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(761)</w:t>
            </w:r>
          </w:p>
        </w:tc>
        <w:tc>
          <w:tcPr>
            <w:tcW w:w="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(761)</w:t>
            </w:r>
          </w:p>
        </w:tc>
        <w:tc>
          <w:tcPr>
            <w:tcW w:w="0" w:type="dxa"/>
            <w:vAlign w:val="bottom"/>
          </w:tcPr>
          <w:p>
            <w:pPr>
              <w:spacing w:after="0"/>
              <w:rPr>
                <w:sz w:val="1"/>
                <w:szCs w:val="1"/>
                <w:color w:val="auto"/>
              </w:rPr>
            </w:pPr>
          </w:p>
        </w:tc>
      </w:tr>
      <w:tr>
        <w:trPr>
          <w:trHeight w:val="122"/>
        </w:trPr>
        <w:tc>
          <w:tcPr>
            <w:tcW w:w="138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CFF0FC"/>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(78,865)</w:t>
            </w:r>
          </w:p>
        </w:tc>
        <w:tc>
          <w:tcPr>
            <w:tcW w:w="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(78,865)</w:t>
            </w:r>
          </w:p>
        </w:tc>
        <w:tc>
          <w:tcPr>
            <w:tcW w:w="0" w:type="dxa"/>
            <w:vAlign w:val="bottom"/>
          </w:tcPr>
          <w:p>
            <w:pPr>
              <w:spacing w:after="0"/>
              <w:rPr>
                <w:sz w:val="1"/>
                <w:szCs w:val="1"/>
                <w:color w:val="auto"/>
              </w:rPr>
            </w:pPr>
          </w:p>
        </w:tc>
      </w:tr>
      <w:tr>
        <w:trPr>
          <w:trHeight w:val="20"/>
        </w:trPr>
        <w:tc>
          <w:tcPr>
            <w:tcW w:w="13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380" w:type="dxa"/>
            <w:vAlign w:val="bottom"/>
          </w:tcPr>
          <w:p>
            <w:pPr>
              <w:ind w:left="40"/>
              <w:spacing w:after="0" w:line="115" w:lineRule="exact"/>
              <w:rPr>
                <w:sz w:val="20"/>
                <w:szCs w:val="20"/>
                <w:color w:val="auto"/>
              </w:rPr>
            </w:pPr>
            <w:r>
              <w:rPr>
                <w:rFonts w:ascii="Times New Roman" w:cs="Times New Roman" w:eastAsia="Times New Roman" w:hAnsi="Times New Roman"/>
                <w:sz w:val="11"/>
                <w:szCs w:val="11"/>
                <w:color w:val="auto"/>
              </w:rPr>
              <w:t>March 31, 2026</w:t>
            </w:r>
          </w:p>
        </w:tc>
        <w:tc>
          <w:tcPr>
            <w:tcW w:w="6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30,000,000</w:t>
            </w:r>
          </w:p>
        </w:tc>
        <w:tc>
          <w:tcPr>
            <w:tcW w:w="300" w:type="dxa"/>
            <w:vAlign w:val="bottom"/>
            <w:gridSpan w:val="2"/>
          </w:tcPr>
          <w:p>
            <w:pPr>
              <w:jc w:val="right"/>
              <w:ind w:right="86"/>
              <w:spacing w:after="0" w:line="115"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294,358</w:t>
            </w:r>
          </w:p>
        </w:tc>
        <w:tc>
          <w:tcPr>
            <w:tcW w:w="7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4,968,789</w:t>
            </w:r>
          </w:p>
        </w:tc>
        <w:tc>
          <w:tcPr>
            <w:tcW w:w="220" w:type="dxa"/>
            <w:vAlign w:val="bottom"/>
            <w:gridSpan w:val="2"/>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92"/>
              </w:rPr>
              <w:t>84,501</w:t>
            </w:r>
          </w:p>
        </w:tc>
        <w:tc>
          <w:tcPr>
            <w:tcW w:w="64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708,814</w:t>
            </w:r>
          </w:p>
        </w:tc>
        <w:tc>
          <w:tcPr>
            <w:tcW w:w="2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11,447</w:t>
            </w:r>
          </w:p>
        </w:tc>
        <w:tc>
          <w:tcPr>
            <w:tcW w:w="7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43,084,539</w:t>
            </w:r>
          </w:p>
        </w:tc>
        <w:tc>
          <w:tcPr>
            <w:tcW w:w="220" w:type="dxa"/>
            <w:vAlign w:val="bottom"/>
            <w:gridSpan w:val="2"/>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89"/>
              </w:rPr>
              <w:t>602,058</w:t>
            </w:r>
          </w:p>
        </w:tc>
        <w:tc>
          <w:tcPr>
            <w:tcW w:w="120" w:type="dxa"/>
            <w:vAlign w:val="bottom"/>
            <w:tcBorders>
              <w:right w:val="single" w:sz="8" w:color="auto"/>
            </w:tcBorders>
          </w:tcPr>
          <w:p>
            <w:pPr>
              <w:spacing w:after="0"/>
              <w:rPr>
                <w:sz w:val="10"/>
                <w:szCs w:val="10"/>
                <w:color w:val="auto"/>
              </w:rPr>
            </w:pPr>
          </w:p>
        </w:tc>
        <w:tc>
          <w:tcPr>
            <w:tcW w:w="62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29,953</w:t>
            </w:r>
          </w:p>
        </w:tc>
        <w:tc>
          <w:tcPr>
            <w:tcW w:w="400" w:type="dxa"/>
            <w:vAlign w:val="bottom"/>
            <w:gridSpan w:val="2"/>
          </w:tcPr>
          <w:p>
            <w:pPr>
              <w:jc w:val="right"/>
              <w:ind w:right="18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15,977</w:t>
            </w:r>
          </w:p>
        </w:tc>
        <w:tc>
          <w:tcPr>
            <w:tcW w:w="1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(532)</w:t>
            </w: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(447,533)</w:t>
            </w:r>
          </w:p>
        </w:tc>
        <w:tc>
          <w:tcPr>
            <w:tcW w:w="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(432,088)</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-1233805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-1216660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-1233805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-1216660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-1233805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-1216660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-1233805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-1216660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-1233805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-1216660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-1233805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-1216660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-1233805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-1216660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-1233805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-1216660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-1233805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-1216660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-1233805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-1216660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-1233805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-1216660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-1233805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-1216660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-1233805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-1216660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-1233805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-111125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-111125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-111125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-111125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-111125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-111125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-111125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-111125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-111125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-111125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-111125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-111125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-111125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-111125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Kailera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28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2240" w:type="dxa"/>
            <w:vAlign w:val="bottom"/>
            <w:gridSpan w:val="2"/>
          </w:tcPr>
          <w:p>
            <w:pPr>
              <w:jc w:val="right"/>
              <w:ind w:right="808"/>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(78,865)</w:t>
            </w: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(17,983)</w:t>
            </w:r>
          </w:p>
        </w:tc>
      </w:tr>
      <w:tr>
        <w:trPr>
          <w:trHeight w:val="20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7"/>
                <w:szCs w:val="17"/>
                <w:color w:val="auto"/>
              </w:rPr>
            </w:pPr>
          </w:p>
        </w:tc>
      </w:tr>
      <w:tr>
        <w:trPr>
          <w:trHeight w:val="203"/>
        </w:trPr>
        <w:tc>
          <w:tcPr>
            <w:tcW w:w="6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3,939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1,523</w:t>
            </w:r>
          </w:p>
        </w:tc>
        <w:tc>
          <w:tcPr>
            <w:tcW w:w="100" w:type="dxa"/>
            <w:vAlign w:val="bottom"/>
            <w:shd w:val="clear" w:color="auto" w:fill="CFF0FC"/>
          </w:tcPr>
          <w:p>
            <w:pPr>
              <w:spacing w:after="0"/>
              <w:rPr>
                <w:sz w:val="17"/>
                <w:szCs w:val="17"/>
                <w:color w:val="auto"/>
              </w:rPr>
            </w:pPr>
          </w:p>
        </w:tc>
      </w:tr>
      <w:tr>
        <w:trPr>
          <w:trHeight w:val="203"/>
        </w:trPr>
        <w:tc>
          <w:tcPr>
            <w:tcW w:w="6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fair value of preferred stock tranche right liability</w:t>
            </w: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(800)</w:t>
            </w:r>
          </w:p>
        </w:tc>
      </w:tr>
      <w:tr>
        <w:trPr>
          <w:trHeight w:val="203"/>
        </w:trPr>
        <w:tc>
          <w:tcPr>
            <w:tcW w:w="6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Non-cash lease expense</w:t>
            </w:r>
          </w:p>
        </w:tc>
        <w:tc>
          <w:tcPr>
            <w:tcW w:w="1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(13)</w:t>
            </w:r>
          </w:p>
        </w:tc>
      </w:tr>
      <w:tr>
        <w:trPr>
          <w:trHeight w:val="203"/>
        </w:trPr>
        <w:tc>
          <w:tcPr>
            <w:tcW w:w="6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Accretion of discounts on investments, net</w:t>
            </w: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(1,225)</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3"/>
        </w:trPr>
        <w:tc>
          <w:tcPr>
            <w:tcW w:w="6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(7)</w:t>
            </w:r>
          </w:p>
        </w:tc>
      </w:tr>
      <w:tr>
        <w:trPr>
          <w:trHeight w:val="203"/>
        </w:trPr>
        <w:tc>
          <w:tcPr>
            <w:tcW w:w="6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(2,674)</w:t>
            </w:r>
          </w:p>
        </w:tc>
      </w:tr>
      <w:tr>
        <w:trPr>
          <w:trHeight w:val="203"/>
        </w:trPr>
        <w:tc>
          <w:tcPr>
            <w:tcW w:w="64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Non-current clinical deposits</w:t>
            </w: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(1,133)</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3"/>
        </w:trPr>
        <w:tc>
          <w:tcPr>
            <w:tcW w:w="64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 non-current assets</w:t>
            </w:r>
          </w:p>
        </w:tc>
        <w:tc>
          <w:tcPr>
            <w:tcW w:w="1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(10)</w:t>
            </w:r>
          </w:p>
        </w:tc>
      </w:tr>
      <w:tr>
        <w:trPr>
          <w:trHeight w:val="203"/>
        </w:trPr>
        <w:tc>
          <w:tcPr>
            <w:tcW w:w="64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Accounts payable</w:t>
            </w: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(495)</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100" w:type="dxa"/>
            <w:vAlign w:val="bottom"/>
          </w:tcPr>
          <w:p>
            <w:pPr>
              <w:spacing w:after="0"/>
              <w:rPr>
                <w:sz w:val="17"/>
                <w:szCs w:val="17"/>
                <w:color w:val="auto"/>
              </w:rPr>
            </w:pPr>
          </w:p>
        </w:tc>
      </w:tr>
      <w:tr>
        <w:trPr>
          <w:trHeight w:val="203"/>
        </w:trPr>
        <w:tc>
          <w:tcPr>
            <w:tcW w:w="64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9,376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100" w:type="dxa"/>
            <w:vAlign w:val="bottom"/>
            <w:shd w:val="clear" w:color="auto" w:fill="CFF0FC"/>
          </w:tcPr>
          <w:p>
            <w:pPr>
              <w:spacing w:after="0"/>
              <w:rPr>
                <w:sz w:val="17"/>
                <w:szCs w:val="17"/>
                <w:color w:val="auto"/>
              </w:rPr>
            </w:pPr>
          </w:p>
        </w:tc>
      </w:tr>
      <w:tr>
        <w:trPr>
          <w:trHeight w:val="203"/>
        </w:trPr>
        <w:tc>
          <w:tcPr>
            <w:tcW w:w="64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(282)</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3"/>
        </w:trPr>
        <w:tc>
          <w:tcPr>
            <w:tcW w:w="64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
        </w:trPr>
        <w:tc>
          <w:tcPr>
            <w:tcW w:w="646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(68,310)</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(18,201)</w:t>
            </w:r>
          </w:p>
        </w:tc>
      </w:tr>
      <w:tr>
        <w:trPr>
          <w:trHeight w:val="203"/>
        </w:trPr>
        <w:tc>
          <w:tcPr>
            <w:tcW w:w="64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1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(48,448)</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(54,440)</w:t>
            </w: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Maturities of marketable securities</w:t>
            </w:r>
          </w:p>
        </w:tc>
        <w:tc>
          <w:tcPr>
            <w:tcW w:w="12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71,297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196"/>
        </w:trPr>
        <w:tc>
          <w:tcPr>
            <w:tcW w:w="6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22,849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(54,440)</w:t>
            </w:r>
          </w:p>
        </w:tc>
      </w:tr>
      <w:tr>
        <w:trPr>
          <w:trHeight w:val="203"/>
        </w:trPr>
        <w:tc>
          <w:tcPr>
            <w:tcW w:w="6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the exercise of stock options</w:t>
            </w: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Payments of deferred offering costs related to initial public offering</w:t>
            </w:r>
          </w:p>
        </w:tc>
        <w:tc>
          <w:tcPr>
            <w:tcW w:w="1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(3,037)</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
        </w:trPr>
        <w:tc>
          <w:tcPr>
            <w:tcW w:w="646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(2,980)</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3"/>
        </w:trPr>
        <w:tc>
          <w:tcPr>
            <w:tcW w:w="646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(48,441)</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(72,641)</w:t>
            </w:r>
          </w:p>
        </w:tc>
      </w:tr>
      <w:tr>
        <w:trPr>
          <w:trHeight w:val="203"/>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 and restricted cash at beginning of period</w:t>
            </w:r>
          </w:p>
        </w:tc>
        <w:tc>
          <w:tcPr>
            <w:tcW w:w="12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161,028</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175,178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2240" w:type="dxa"/>
            <w:vAlign w:val="bottom"/>
            <w:gridSpan w:val="2"/>
          </w:tcPr>
          <w:p>
            <w:pPr>
              <w:jc w:val="right"/>
              <w:ind w:right="808"/>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112,587</w:t>
            </w:r>
          </w:p>
        </w:tc>
        <w:tc>
          <w:tcPr>
            <w:tcW w:w="160" w:type="dxa"/>
            <w:vAlign w:val="bottom"/>
          </w:tcPr>
          <w:p>
            <w:pPr>
              <w:spacing w:after="0"/>
              <w:rPr>
                <w:sz w:val="17"/>
                <w:szCs w:val="17"/>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102,537</w:t>
            </w:r>
          </w:p>
        </w:tc>
        <w:tc>
          <w:tcPr>
            <w:tcW w:w="100" w:type="dxa"/>
            <w:vAlign w:val="bottom"/>
          </w:tcPr>
          <w:p>
            <w:pPr>
              <w:spacing w:after="0"/>
              <w:rPr>
                <w:sz w:val="17"/>
                <w:szCs w:val="17"/>
                <w:color w:val="auto"/>
              </w:rPr>
            </w:pPr>
          </w:p>
        </w:tc>
      </w:tr>
      <w:tr>
        <w:trPr>
          <w:trHeight w:val="20"/>
        </w:trPr>
        <w:tc>
          <w:tcPr>
            <w:tcW w:w="6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4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Reconciliation of cash, cash equivalents and restricted cash</w:t>
            </w:r>
          </w:p>
        </w:tc>
        <w:tc>
          <w:tcPr>
            <w:tcW w:w="1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111,826</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101,776</w:t>
            </w:r>
          </w:p>
        </w:tc>
        <w:tc>
          <w:tcPr>
            <w:tcW w:w="100" w:type="dxa"/>
            <w:vAlign w:val="bottom"/>
            <w:shd w:val="clear" w:color="auto" w:fill="CFF0FC"/>
          </w:tcPr>
          <w:p>
            <w:pPr>
              <w:spacing w:after="0"/>
              <w:rPr>
                <w:sz w:val="17"/>
                <w:szCs w:val="17"/>
                <w:color w:val="auto"/>
              </w:rPr>
            </w:pP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2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00" w:type="dxa"/>
            <w:vAlign w:val="bottom"/>
          </w:tcPr>
          <w:p>
            <w:pPr>
              <w:spacing w:after="0"/>
              <w:rPr>
                <w:sz w:val="17"/>
                <w:szCs w:val="17"/>
                <w:color w:val="auto"/>
              </w:rPr>
            </w:pPr>
          </w:p>
        </w:tc>
      </w:tr>
      <w:tr>
        <w:trPr>
          <w:trHeight w:val="23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Total cash, cash equivalents and restricted cash</w:t>
            </w:r>
          </w:p>
        </w:tc>
        <w:tc>
          <w:tcPr>
            <w:tcW w:w="22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112,587</w:t>
            </w: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102,537</w:t>
            </w:r>
          </w:p>
        </w:tc>
        <w:tc>
          <w:tcPr>
            <w:tcW w:w="100" w:type="dxa"/>
            <w:vAlign w:val="bottom"/>
            <w:shd w:val="clear" w:color="auto" w:fill="CFF0FC"/>
          </w:tcPr>
          <w:p>
            <w:pPr>
              <w:spacing w:after="0"/>
              <w:rPr>
                <w:sz w:val="20"/>
                <w:szCs w:val="20"/>
                <w:color w:val="auto"/>
              </w:rPr>
            </w:pPr>
          </w:p>
        </w:tc>
      </w:tr>
      <w:tr>
        <w:trPr>
          <w:trHeight w:val="385"/>
        </w:trPr>
        <w:tc>
          <w:tcPr>
            <w:tcW w:w="6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128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0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Deferred offering costs included in accounts payable and accrued expenses</w:t>
            </w:r>
          </w:p>
        </w:tc>
        <w:tc>
          <w:tcPr>
            <w:tcW w:w="22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2,123</w:t>
            </w: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-3059430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-1757045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-1757045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-1490980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-1224915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-410845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-393700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Kailera Therapeutics,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Kailera Therapeutics, Inc. (the “Company” or “Kailera”) is an advanced clinical-stage biotechnology company focused on elevating the next era of obesity care by advancing a diversified pipeline to provide options for people living with obesity no matter where they are in their treatment journey.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incorporated in May 2024 and is subject to risks and uncertainties common to early-stage companies in the biopharmaceutical industry, including but not limited to, new technological innovations, protection of proprietary technology, dependence on key personnel, compliance with government regulations, reliance on third-party organizations for the discovery, manufacturing, clinical support of its product candidates, and the need to obtain additional financing. Product candidates currently under development will require significant additional research and development efforts, including extensive nonclinical and clinical testing and regulatory approval, prior to commercialization. These efforts require significant amounts of additional capital, adequate personnel and infrastructure and extensive compliance-reporting capabilities.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can be no assurance that the Company’s research and development efforts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 March 31, 2026, the Company has funded its operations primarily with proceeds from the sale and issuance of shares of convertible preferred stock and the issuance of convertible promissory notes, which converted into shares of convertible preferred stock. The Company has incurred losses since its inception, including a net loss of $78.9 million and $18.0 million for the three months ended March 31, 2026 and 2025, respectively. In addition, as of March 31, 2026, the Company had an accumulated deficit of $447.5 million. The Company expects to continue to generate operating losses for the near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and could require it to significantly delay, scale back or discontinue the development and commercialization of one or more of its product candidates. There can be no assurance that the current operating plan will be achieved or that additional funding will be available on terms acceptable to the Company, or at all.</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the cash, cash equivalents and marketable securities on hand of $581.9 million as of March 31, 2026, together with the $718.8 million of gross proceeds raised in its initial public offering subsequent to March 31, 2026, will be sufficient to fund its operations and capital expenditure requirements for at least twelve months from the date these condensed consolidated financial statements are issued.</w:t>
      </w:r>
    </w:p>
    <w:p>
      <w:pPr>
        <w:spacing w:after="0" w:line="280" w:lineRule="exact"/>
        <w:rPr>
          <w:sz w:val="20"/>
          <w:szCs w:val="20"/>
          <w:color w:val="auto"/>
        </w:rPr>
      </w:pPr>
    </w:p>
    <w:p>
      <w:pPr>
        <w:ind w:left="520" w:right="7760" w:hanging="512"/>
        <w:spacing w:after="0" w:line="378" w:lineRule="auto"/>
        <w:tabs>
          <w:tab w:leader="none" w:pos="191"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3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2025 was derived from audited financial statements but does not include all disclosures required by GAAP. The accompanying unaudited financial statements as of March 31, 2026 and for the three months ended March 31, 2026 and 2025 have been prepared pursuant to the rules and regulations of the Securities and Exchange Commission, or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included in its final prospectus filed with the SEC pursuant to Rule 424(b) under the Securities Act of 1933, as amended, on April 17, 2026 (the "Prospectus"). In the opinion of management, all adjustments, consisting only of normal recurring adjustments necessary for a fair presentation of the Company's financial position as of March 31, 2026, and the results of operations and cash flows for the three months ended March 31, 2026 and 2025. The results 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operations for the three months ended March 31, 2026 are not necessarily indicative of the results of operations that may be expected for the year ending December 31, 2026 or any other period.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are described in Note 2 of the Notes to the Consolidated Financial Statements for the year ended December 31, 2025 included in the Prospectus.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 and smaller reporting company status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(the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financial statements may not be comparable to companies that comply with public company effective dates. The Company may take advantage of these exemptions up until the last day of the fiscal year following the fifth anniversary of its initial public offering, or December 31, 2031, or such earlier time that it is no longer an “emerging growth company”. As of the date of the issuance of these financial statements, the Company is also a “smaller reporting company”. If the Company is a smaller reporting company at the time it ceases to be an emerging growth company, the Company may continue to rely on exemptions from certain disclosure requirements that are available to smaller reporting companies.</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Unless otherwise discussed, the Company believes that the impact of recently issued standards that are not yet effective will not have a material impact on its financial statements and disclosures.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The amendments in ASU 2024-03 require public entities to disclose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costs and expenses. ASU 2024-03 is effective for fiscal years beginning after December 15, 2026, and for interim periods within those fiscal years beginning after December 15, 2027. The Company is currently evaluating the impact of this standard on its condensed consolidated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xml:space="preserve"> (“ASU 2025-06”). The amendments change (i) the criteria regarding the timing of the capitalization of costs for internal-use software and (ii) the accounting for website development costs. The amendments are effective for annual periods beginning after December 15, 2027. The Company is currently evaluating the impact of the amendments on its condensed consolidated financial statements.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Scope Refinements and Scope Clarification for Share-Based Noncash Consideration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 Customer in a Revenue Contract </w:t>
      </w:r>
      <w:r>
        <w:rPr>
          <w:rFonts w:ascii="Times New Roman" w:cs="Times New Roman" w:eastAsia="Times New Roman" w:hAnsi="Times New Roman"/>
          <w:sz w:val="18"/>
          <w:szCs w:val="18"/>
          <w:color w:val="auto"/>
        </w:rPr>
        <w:t>(“ASU 2025-07”). The guidance refines the scope of ASC Topic 815, Derivatives and Hedging, to clarify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are subject to derivative accounting. The guidance also provides clarification under ASC 606 for share-based payments from a customer in a revenue contract. The Company adopted the standard on a modified retrospective basis as of January 1, 2026. As a result of the new derivative scope exception created by the standard, certain previously identified derivatives no longer meet the criteria for derivative accounting. These derivatives did not have any fair value as of December 31, 2025, and therefore no amounts are recognized related to the adoption of the standard. development derivative liability similar to a debt obligation under the guidance of ASC 470-10. Refer to Note 9, Liabilities Related To The Sale Of Future Royalties And Development Funding, for additional information related to the adoption of this new standard and the related effects to the condensed consolidated financial statements. We elected to adopt the guidance of ASU 2025-07 because we believe the accounting treatment of this guidance better reflects the economics of our existing research and development funding arrangements and provides more decision-useful information when derivative accounting is not applied. The guidance of ASU 2025-07 related to share-based noncash consideration received in exchange for the transfer of goods or services to a customer did not have any impact on our condensed consolidated financial statements upon adoption.</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(“ASU 2025-12”). ASU 2025-12 addresses suggestions received from stakeholders on the ASC and to make other incremental improvements to U.S. GAAP. The update represents changes to the ASC that (1) clarify, (2) correct errors, or (3) make minor improvements. The amendments make the ASC easier to understand and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 w:name="page11"/>
    <w:bookmarkEnd w:id="1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apply. The guidance is effective for fiscal years beginning after December 15, 2026, including interim periods within those fiscal years. The Company is currently evaluating the impact of this standard on its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amortized cost and estimated fair value of the Company’s investments, which are considered to be available-for-sale investments, and were included in marketable securities and long-term marketable securities:</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agency debt securities</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192,509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133,431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407,726</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(381)</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407,348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agency debt securities</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34,129</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62,899</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(152)</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agency debt securities</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169,690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122,737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1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93,241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385,668</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385,789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4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government agency debt securities</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62,038</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106,575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-2733675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-2716530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-2733675</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-2716530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-2733675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-2716530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-2733675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-2716530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-2013585</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-1996440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-2013585</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-1996440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-2013585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-1996440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-2013585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-1996440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-744855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-728345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-744855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-728345</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-744855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-728345</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-744855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-728345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short-term marketable securities with original maturities of less than 90 days are included in cash and cash equivalents on the consolidated balance sheets and are not included in the tables above. As of March 31, 2026, all short-term marketable securities had contractual maturities within one year and all long-term marketable securities had contractual maturities between one to two years.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the Company had 67 securities with a total fair market value of $418.2 million in an unrealized loss position. The Company evaluated its securities for potential impairment and considered the decline in market value to be primarily attributable to current economic and market conditions. Additionally, the Company does not intend to sell the investments in an unrealized loss position and does not expect it will be required to sell the investments before recovery of their amortized cost bases, which may be at maturity. Given the Company’s intent and ability to hold such investments until recovery, and the lack of a significant change in credit risk for these investments, the Company does not consider these investments to be impaired and there are no allowances for credit losses as of March 31, 2026.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4. Fair value of financial assets and liabilities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gridSpan w:val="9"/>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2026</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109,746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109,746</w:t>
            </w:r>
          </w:p>
        </w:tc>
        <w:tc>
          <w:tcPr>
            <w:tcW w:w="120" w:type="dxa"/>
            <w:vAlign w:val="bottom"/>
          </w:tcPr>
          <w:p>
            <w:pPr>
              <w:spacing w:after="0"/>
              <w:rPr>
                <w:sz w:val="18"/>
                <w:szCs w:val="18"/>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agency debt securities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226,466</w:t>
            </w:r>
          </w:p>
        </w:tc>
        <w:tc>
          <w:tcPr>
            <w:tcW w:w="120" w:type="dxa"/>
            <w:vAlign w:val="bottom"/>
          </w:tcPr>
          <w:p>
            <w:pPr>
              <w:spacing w:after="0"/>
              <w:rPr>
                <w:sz w:val="18"/>
                <w:szCs w:val="18"/>
                <w:color w:val="auto"/>
              </w:rPr>
            </w:pPr>
          </w:p>
        </w:tc>
      </w:tr>
      <w:tr>
        <w:trPr>
          <w:trHeight w:val="216"/>
        </w:trPr>
        <w:tc>
          <w:tcPr>
            <w:tcW w:w="4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161,884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161,884</w:t>
            </w: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1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81,745</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81,745</w:t>
            </w:r>
          </w:p>
        </w:tc>
        <w:tc>
          <w:tcPr>
            <w:tcW w:w="120" w:type="dxa"/>
            <w:vAlign w:val="bottom"/>
          </w:tcPr>
          <w:p>
            <w:pPr>
              <w:spacing w:after="0"/>
              <w:rPr>
                <w:sz w:val="18"/>
                <w:szCs w:val="18"/>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109,746</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470,095</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579,841</w:t>
            </w:r>
          </w:p>
        </w:tc>
        <w:tc>
          <w:tcPr>
            <w:tcW w:w="120" w:type="dxa"/>
            <w:vAlign w:val="bottom"/>
            <w:shd w:val="clear" w:color="auto" w:fill="CFF0FC"/>
          </w:tcPr>
          <w:p>
            <w:pPr>
              <w:spacing w:after="0"/>
              <w:rPr>
                <w:sz w:val="19"/>
                <w:szCs w:val="19"/>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372"/>
        </w:trPr>
        <w:tc>
          <w:tcPr>
            <w:tcW w:w="4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2025</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4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104,212</w:t>
            </w:r>
          </w:p>
        </w:tc>
        <w:tc>
          <w:tcPr>
            <w:tcW w:w="120" w:type="dxa"/>
            <w:vAlign w:val="bottom"/>
          </w:tcPr>
          <w:p>
            <w:pPr>
              <w:spacing w:after="0"/>
              <w:rPr>
                <w:sz w:val="18"/>
                <w:szCs w:val="18"/>
                <w:color w:val="auto"/>
              </w:rPr>
            </w:pPr>
          </w:p>
        </w:tc>
      </w:tr>
      <w:tr>
        <w:trPr>
          <w:trHeight w:val="216"/>
        </w:trPr>
        <w:tc>
          <w:tcPr>
            <w:tcW w:w="4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27,353</w:t>
            </w: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25,922</w:t>
            </w:r>
          </w:p>
        </w:tc>
        <w:tc>
          <w:tcPr>
            <w:tcW w:w="120" w:type="dxa"/>
            <w:vAlign w:val="bottom"/>
          </w:tcPr>
          <w:p>
            <w:pPr>
              <w:spacing w:after="0"/>
              <w:rPr>
                <w:sz w:val="18"/>
                <w:szCs w:val="18"/>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agency debt securities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231,915</w:t>
            </w:r>
          </w:p>
        </w:tc>
        <w:tc>
          <w:tcPr>
            <w:tcW w:w="120" w:type="dxa"/>
            <w:vAlign w:val="bottom"/>
          </w:tcPr>
          <w:p>
            <w:pPr>
              <w:spacing w:after="0"/>
              <w:rPr>
                <w:sz w:val="18"/>
                <w:szCs w:val="18"/>
                <w:color w:val="auto"/>
              </w:rPr>
            </w:pPr>
          </w:p>
        </w:tc>
      </w:tr>
      <w:tr>
        <w:trPr>
          <w:trHeight w:val="216"/>
        </w:trPr>
        <w:tc>
          <w:tcPr>
            <w:tcW w:w="4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167,268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167,268</w:t>
            </w: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1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93,278</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93,278</w:t>
            </w:r>
          </w:p>
        </w:tc>
        <w:tc>
          <w:tcPr>
            <w:tcW w:w="120" w:type="dxa"/>
            <w:vAlign w:val="bottom"/>
          </w:tcPr>
          <w:p>
            <w:pPr>
              <w:spacing w:after="0"/>
              <w:rPr>
                <w:sz w:val="18"/>
                <w:szCs w:val="18"/>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104,212</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545,736</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649,948</w:t>
            </w:r>
          </w:p>
        </w:tc>
        <w:tc>
          <w:tcPr>
            <w:tcW w:w="120" w:type="dxa"/>
            <w:vAlign w:val="bottom"/>
            <w:shd w:val="clear" w:color="auto" w:fill="CFF0FC"/>
          </w:tcPr>
          <w:p>
            <w:pPr>
              <w:spacing w:after="0"/>
              <w:rPr>
                <w:sz w:val="19"/>
                <w:szCs w:val="19"/>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-1653540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-1636395</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-1653540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-1636395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-1653540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-1636395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-1653540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-1636395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there were no transfers between Level 1, Level 2 and Level 3.</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purchasers of Series A-1 convertible preferred stock received an obligation to purchase additional shares in the future, which was considered to be a freestanding instrument. Consideration was allocated to this instrument at fair value upon issuance. This instrument was adjusted to fair value on each reporting date, with changes in fair value reported within other income, net in the condensed consolidated statements of operations and comprehensive loss. A portion of this instrument was settled during the period from May 8, 2024 (inception) to December 31, 2024. The portion of the instrument that was settled was determined to not have any fair value as the underlying shares were purchased at fair value. On May 8, 2025, the Company issued convertible promissory notes (the “Notes”), for an aggregate purchase price of $100.0 million, and as a result, their outstanding obligations under the preferred stock tranche obligation were satisfied. The fair value of the preferred stock tranche obligation at settlement was recorded as proceeds received for the Notes. At settlement, there was no value associated with the preferred stock tranche obligation as the convertible promissory notes were purchased for fair value. The Company elected to account for the Notes using the fair value option, with changes in fair value recognized as a component of other income, net in the condensed consolidated statements of operations and comprehensive loss. The Notes were settled on October 31, 2025, in connection with the issuance of Series B convertible preferred stock.</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preferred stock tranche obligation at settlement was considered to be equal to the fair value of the Notes that were issued in settlement of the provision. As the Notes were issued at fair value, the fair value of the preferred stock tranche obligation was considered to be zero at settlement. The fair value of the Notes at settlement were considered to be equal to the fair value of the preferred stock issued at settlement.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2024, the Company entered into a license and collaboration agreement with Jiangsu Hengrui Pharmaceuticals Co., Ltd. (“Hengrui”) which contained a payment obligation upon the Company’s receipt of certain partnership payments, as defined in the agreement, that may have occurred prior to November 15, 2025. This feature was determined to represent an embedded derivative instrument, which was recorded at fair value upon issuance and recognized as acquired in-process research and development expense. The feature was adjusted to fair value on each reporting date, with changes in fair value reported within other income, net in the condensed consolidated statements of operations and comprehensive loss. The feature was concluded to have a de minimis value as of December 31, 2024 due to the anticipated expiration of the feature. The feature ultimately expired with no related payments during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instrument-specific credit risk for the three months ended March 31, 2026 and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8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8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clinical</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8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Prepaid manufacturing</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8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other research and development</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Prepaid bonuses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18"/>
                <w:szCs w:val="18"/>
                <w:color w:val="auto"/>
              </w:rPr>
            </w:pP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11,141</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8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-170815</wp:posOffset>
            </wp:positionV>
            <wp:extent cx="431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2025, the Company entered into lease agreements for office space located in Waltham, Massachusetts and San Diego, California, both of which were scheduled to expire in 2025 and were classified as operating leases. Each lease contained both fixed and variable lease payments. The lease for the premises in Waltham, Massachusetts included an option to extend the lease term for one six-month period.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2025, the Company executed a new, seven-year, non-cancellable operating lease agreement for approximately 39,500 square feet of office space in Waltham, Massachusetts for its corporate headquarters. The lease commenced in October 2025, following completion of construction to prepare the premises for the Company’s intended use. The lease provided for base rent of $2.2 million for the first year, which will increase by approximately 2% each year. The Company’s lease payments also include real estate taxes and other operating expenses allocable to the leased premises, which exceed base year amounts. The Company has the option to extend the lease for one additional five-year term with base rent calculated on the then-market rate. In accordance with the lease agreement, the Company maintained a letter of credit of $0.8 million, which is refundable at the end of the lease term. As of March 31, 2026, the underlying cash balance collateralizing this letter of credit was classified as restricted cash (non-current) on the condensed consolidated balance sheets based on the release date of the restrictions of this cash. In connection with the new lease agreement, the Company amended its previous lease in Waltham, Massachusetts to extend the lease term to end shortly after the lease commencement date of its new lease agreement, which occurred in the fourth quarter of 2025.</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commencement of the lease for its corporate headquarters, the Company recognized operating lease liabilities of $10.6 million, based on an expected contractual obligation of $15.9 million and an incremental borrowing rate of 12.0% and recognized a right-of-use asset of $10.6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lease costs in the Company’s condensed consolidated statements of operations and comprehensive loss (in thousands):</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60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780" w:type="dxa"/>
            <w:vAlign w:val="bottom"/>
          </w:tcPr>
          <w:p>
            <w:pPr>
              <w:spacing w:after="0"/>
              <w:rPr>
                <w:sz w:val="12"/>
                <w:szCs w:val="12"/>
                <w:color w:val="auto"/>
              </w:rPr>
            </w:pPr>
          </w:p>
        </w:tc>
        <w:tc>
          <w:tcPr>
            <w:tcW w:w="98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FF0FC"/>
          </w:tcPr>
          <w:p>
            <w:pPr>
              <w:spacing w:after="0"/>
              <w:rPr>
                <w:sz w:val="18"/>
                <w:szCs w:val="18"/>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-8255</wp:posOffset>
            </wp:positionV>
            <wp:extent cx="431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made cash payments for operating leases of less than $0.6 million and $0.2 million,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following table summarizes the future minimum lease payments due under operating leases as of March 31, 2026 (in thousands):</w:t>
      </w:r>
    </w:p>
    <w:p>
      <w:pPr>
        <w:spacing w:after="0" w:line="206"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 minimum</w:t>
            </w:r>
          </w:p>
        </w:tc>
      </w:t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lease payments</w:t>
            </w:r>
          </w:p>
        </w:tc>
      </w:tr>
      <w:tr>
        <w:trPr>
          <w:trHeight w:val="209"/>
        </w:trPr>
        <w:tc>
          <w:tcPr>
            <w:tcW w:w="2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(4,687)</w:t>
            </w:r>
          </w:p>
        </w:tc>
      </w:tr>
      <w:tr>
        <w:trPr>
          <w:trHeight w:val="209"/>
        </w:trPr>
        <w:tc>
          <w:tcPr>
            <w:tcW w:w="20" w:type="dxa"/>
            <w:vAlign w:val="bottom"/>
          </w:tcPr>
          <w:p>
            <w:pPr>
              <w:spacing w:after="0"/>
              <w:rPr>
                <w:sz w:val="18"/>
                <w:szCs w:val="18"/>
                <w:color w:val="auto"/>
              </w:rPr>
            </w:pPr>
          </w:p>
        </w:tc>
        <w:tc>
          <w:tcPr>
            <w:tcW w:w="522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8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-453390</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lease liabilities are presented on the Company’s consolidated balance sheets based on maturity dates. As of March 31, 2026, $1.0 million is classified under “operating lease liabilities, current” for the portion due within twelve months, and $9.4 million is classified under “operating lease liabilities, non-current.”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weighted average remaining lease term was 6.6 years and the weighted average incremental borrowing rate used to determine the operating lease liability was 12%.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21,993</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18,888</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8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manufacturing</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8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 research and development</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tcPr>
          <w:p>
            <w:pPr>
              <w:spacing w:after="0"/>
              <w:rPr>
                <w:sz w:val="18"/>
                <w:szCs w:val="18"/>
                <w:color w:val="auto"/>
              </w:rPr>
            </w:pPr>
          </w:p>
        </w:tc>
      </w:tr>
      <w:tr>
        <w:trPr>
          <w:trHeight w:val="230"/>
        </w:trPr>
        <w:tc>
          <w:tcPr>
            <w:tcW w:w="53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46,714</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37,836</w:t>
            </w:r>
          </w:p>
        </w:tc>
        <w:tc>
          <w:tcPr>
            <w:tcW w:w="80" w:type="dxa"/>
            <w:vAlign w:val="bottom"/>
            <w:shd w:val="clear" w:color="auto" w:fill="CFF0FC"/>
          </w:tcPr>
          <w:p>
            <w:pPr>
              <w:spacing w:after="0"/>
              <w:rPr>
                <w:sz w:val="19"/>
                <w:szCs w:val="19"/>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431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431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Convertible preferred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authorized capital stock of the Company included 78,762,142 shares of $0.00001 par value preferred stock, of which 30,000,000 shares have been designated as Series A-1 convertible preferred stock, 5,677,603 shares have been designated as Series A-2 convertible preferred stock and 43,084,539 shares have been designated as Series B convertible preferred stock. The Series A-2 convertible preferred stock comprises of 4,968,789 shares of voting stock and 708,814 shares of nonvoting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15, 2024, the Company issued and sold 20,000,000 shares of Series A-1 convertible preferred stock at a price of $10.00 per share. The Company also issued 5,677,603 shares of Series A-2 convertible preferred stock, comprising of 4,968,789 voting shares and 708,814 nonvoting shares, as partial consideration for the receipt of certain intellectual property rights. In addition, the holders of the Series A-1 convertible preferred stock were required to purchase an additional 20,000,000 shares no later than May 15, 2025 for a purchase price of $10.00 per share, subject to potential adjustment.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9, 2024, the parties modified the initial purchase agreement and the Company issued and sold an additional 10,000,000 shares of Series A-1 convertible preferred stock at a price of $10.00 per share. This issuance of additional shares of Series A-1 convertible preferred stock resulted in a change in the conversion ratio for the outstanding shares of Series A-2 convertible preferred stock from one-for-one to 1.67-for-one. The obligation for the holders of the Series A-1 convertible preferred stock to purchase an additional 10,000,000 shares remained outstanding as of December 31,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obligation for the holders of Series A-1 convertible preferred stock to purchase additional shares was considered to be a freestanding instrument. The obligation was accounted for as a liability and was initially recorded at fair value with changes in fair value recognized through earnings as other income, net in the condensed consolidated statements of operations and comprehensive loss. Upon settlement of the obligation, the fair value was reclassified from liabilities to Series A-1 convertible preferred stock.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A-1 convertible preferred stock was recorded based on the allocated consideration, which was the cash consideration less the amounts allocated to the obligation to purchase additional shares. The Series A-2 convertible preferred stock was initially recorded at fair value. The preferred stock is classified within temporary equity as the shares are redeemable upon the occurrence of certain contingent events which are outside of the control of the Company. The occurrence of these events was not considered to be probable as of March 31, 2026. The Company assessed the preferred stock for any embedded derivatives that would require bifurcation on the date of each issuance and concluded that there were no such features.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8, 2025, the Company issued convertible promissory notes (the “Notes”) to the holders of the Series A-1 convertible preferred stock for an aggregate purchase price of $100.0 million, and as a result, their outstanding obligations under the preferred stock tranche obligation were satisfied. The Notes had a contractual interest rate of 7.0% and provided for conversion of all principal and interest into either Series A-1 convertible preferred stock upon maturity on September 30, 2025, at a conversion price of $10.00 per share, or a newly created series of preferred stock upon the occurrence of a qualified financing at a conversion price equal to the cash price paid per share by the investors in such qualified financing. The fair value of the preferred stock tranche obligation at settlement was recorded as proceeds received for the Notes. At settlement, there was no value associated with the preferred stock tranche obligation as the convertible promissory notes were purchased for fair value. The Company elected to account for the Notes using the fair value option, with changes in fair value recognized as a component of other income, net in the condensed consolidated statements of operations and comprehensive loss. As the fair value election was utilized, contractual interest was not separately accounted for. The Notes were amended on September 29, 2025 to extend the maturity date to November 28, 2025 and settled on October 31, 2025 in connection with the issuance of Series B convertible preferred stock described below.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On October 31, 2025, the Company issued and sold 35,714,285 shares of Series B convertible preferred stock at a price of $14.00 per share and issued 7,370,254 shares of Series B convertible preferred stock upon conversion of the Notes in full, representing $100.0 million of principal and $3.2 million of accrued interest. This issuance of Series B convertible preferred stock resulted in a change in the conversion ratio for the outstanding shares of Series A-2 convertible preferred stock from 1.67-for-one as of December 31, 2024 to 2.03-for-one as of December 31, 2025.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B convertible preferred stock was initially recorded at fair value based on the cash consideration, or $500.0 million, and the fair value of the Notes at settlement, or $103.2 million. The preferred stock is classified within temporary equity as the shares are redeemable upon the occurrence of certain contingent events which are outside of the control of the Company. The occurrence of these events was not considered to be probable upon issuance. The Company assessed the preferred stock for any embedded derivatives that would require bifurcation on the date of issuance and concluded that there were no such features.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stock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20" w:type="dxa"/>
            <w:vAlign w:val="bottom"/>
          </w:tcPr>
          <w:p>
            <w:pPr>
              <w:spacing w:after="0"/>
              <w:rPr>
                <w:sz w:val="15"/>
                <w:szCs w:val="15"/>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220" w:type="dxa"/>
            <w:vAlign w:val="bottom"/>
          </w:tcPr>
          <w:p>
            <w:pPr>
              <w:spacing w:after="0"/>
              <w:rPr>
                <w:sz w:val="10"/>
                <w:szCs w:val="10"/>
                <w:color w:val="auto"/>
              </w:rPr>
            </w:pP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2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22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220" w:type="dxa"/>
            <w:vAlign w:val="bottom"/>
          </w:tcPr>
          <w:p>
            <w:pPr>
              <w:spacing w:after="0"/>
              <w:rPr>
                <w:sz w:val="15"/>
                <w:szCs w:val="15"/>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191"/>
        </w:trPr>
        <w:tc>
          <w:tcPr>
            <w:tcW w:w="51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Series A-1 convertible preferred</w:t>
            </w:r>
          </w:p>
        </w:tc>
        <w:tc>
          <w:tcPr>
            <w:tcW w:w="10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294,357,58</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300,000,00</w:t>
            </w:r>
          </w:p>
        </w:tc>
        <w:tc>
          <w:tcPr>
            <w:tcW w:w="220" w:type="dxa"/>
            <w:vAlign w:val="bottom"/>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0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A-2 voting convertible</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4,968,789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4,968,789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84,500,659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49,687,890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9,477,719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1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Series A-2 nonvoting convertible</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708,814</w:t>
            </w:r>
          </w:p>
        </w:tc>
        <w:tc>
          <w:tcPr>
            <w:tcW w:w="220" w:type="dxa"/>
            <w:vAlign w:val="bottom"/>
            <w:vMerge w:val="restart"/>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708,814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11,447,346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7,088,140</w:t>
            </w:r>
          </w:p>
        </w:tc>
        <w:tc>
          <w:tcPr>
            <w:tcW w:w="220" w:type="dxa"/>
            <w:vAlign w:val="bottom"/>
            <w:vMerge w:val="restart"/>
            <w:shd w:val="clear" w:color="auto" w:fill="CFF0FC"/>
          </w:tcPr>
          <w:p>
            <w:pPr>
              <w:spacing w:after="0"/>
              <w:rPr>
                <w:sz w:val="17"/>
                <w:szCs w:val="17"/>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2,034,133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 *</w:t>
            </w: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vMerge w:val="continue"/>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vMerge w:val="continue"/>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 Series A-2 convertible preferred stock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5,677,603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5,677,603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95,948,005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56,776,030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11,511,852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Series B convertible preferred</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602,057,53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603,183,54</w:t>
            </w: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43,084,539</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43,084,539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43,084,539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140" w:type="dxa"/>
            <w:vAlign w:val="bottom"/>
            <w:tcBorders>
              <w:top w:val="single" w:sz="8" w:color="CFF0FC"/>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992,363,12</w:t>
            </w: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959,959,57</w:t>
            </w:r>
          </w:p>
        </w:tc>
        <w:tc>
          <w:tcPr>
            <w:tcW w:w="220" w:type="dxa"/>
            <w:vAlign w:val="bottom"/>
            <w:tcBorders>
              <w:top w:val="single" w:sz="8" w:color="CFF0FC"/>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78,762,142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78,762,142</w:t>
            </w:r>
          </w:p>
        </w:tc>
        <w:tc>
          <w:tcPr>
            <w:tcW w:w="10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84,596,391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-728345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-728345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-728345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-728345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-307975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-307975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-307975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-307975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-307975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40" w:type="dxa"/>
            <w:vAlign w:val="bottom"/>
          </w:tcPr>
          <w:p>
            <w:pPr>
              <w:spacing w:after="0"/>
              <w:rPr>
                <w:sz w:val="15"/>
                <w:szCs w:val="15"/>
                <w:color w:val="auto"/>
              </w:rPr>
            </w:pPr>
          </w:p>
        </w:tc>
        <w:tc>
          <w:tcPr>
            <w:tcW w:w="1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220" w:type="dxa"/>
            <w:vAlign w:val="bottom"/>
          </w:tcPr>
          <w:p>
            <w:pPr>
              <w:spacing w:after="0"/>
              <w:rPr>
                <w:sz w:val="10"/>
                <w:szCs w:val="10"/>
                <w:color w:val="auto"/>
              </w:rPr>
            </w:pPr>
          </w:p>
        </w:tc>
        <w:tc>
          <w:tcPr>
            <w:tcW w:w="1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240" w:type="dxa"/>
            <w:vAlign w:val="bottom"/>
          </w:tcPr>
          <w:p>
            <w:pPr>
              <w:spacing w:after="0"/>
              <w:rPr>
                <w:sz w:val="15"/>
                <w:szCs w:val="15"/>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220" w:type="dxa"/>
            <w:vAlign w:val="bottom"/>
          </w:tcPr>
          <w:p>
            <w:pPr>
              <w:spacing w:after="0"/>
              <w:rPr>
                <w:sz w:val="15"/>
                <w:szCs w:val="15"/>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191"/>
        </w:trPr>
        <w:tc>
          <w:tcPr>
            <w:tcW w:w="30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Series A-1 convertible preferred</w:t>
            </w:r>
          </w:p>
        </w:tc>
        <w:tc>
          <w:tcPr>
            <w:tcW w:w="14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0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294,357,583</w:t>
            </w:r>
          </w:p>
        </w:tc>
        <w:tc>
          <w:tcPr>
            <w:tcW w:w="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300,000,000</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A-2 voting convertible</w:t>
            </w: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4,968,789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4,968,789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84,500,659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49,687,890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9,477,719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Series A-2 nonvoting convertible</w:t>
            </w:r>
          </w:p>
        </w:tc>
        <w:tc>
          <w:tcPr>
            <w:tcW w:w="1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708,814</w:t>
            </w:r>
          </w:p>
        </w:tc>
        <w:tc>
          <w:tcPr>
            <w:tcW w:w="1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708,814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11,447,346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7,088,140</w:t>
            </w:r>
          </w:p>
        </w:tc>
        <w:tc>
          <w:tcPr>
            <w:tcW w:w="16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2,034,133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 *</w:t>
            </w:r>
          </w:p>
        </w:tc>
        <w:tc>
          <w:tcPr>
            <w:tcW w:w="1460" w:type="dxa"/>
            <w:vAlign w:val="bottom"/>
            <w:vMerge w:val="continue"/>
            <w:shd w:val="clear" w:color="auto" w:fill="CFF0FC"/>
          </w:tcPr>
          <w:p>
            <w:pPr>
              <w:spacing w:after="0"/>
              <w:rPr>
                <w:sz w:val="19"/>
                <w:szCs w:val="19"/>
                <w:color w:val="auto"/>
              </w:rPr>
            </w:pPr>
          </w:p>
        </w:tc>
        <w:tc>
          <w:tcPr>
            <w:tcW w:w="170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vMerge w:val="continue"/>
            <w:shd w:val="clear" w:color="auto" w:fill="CFF0FC"/>
          </w:tcPr>
          <w:p>
            <w:pPr>
              <w:spacing w:after="0"/>
              <w:rPr>
                <w:sz w:val="19"/>
                <w:szCs w:val="19"/>
                <w:color w:val="auto"/>
              </w:rPr>
            </w:pPr>
          </w:p>
        </w:tc>
        <w:tc>
          <w:tcPr>
            <w:tcW w:w="168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08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Total Series A-2 convertible</w:t>
            </w:r>
          </w:p>
        </w:tc>
        <w:tc>
          <w:tcPr>
            <w:tcW w:w="14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5,677,603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5,677,603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95,948,005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56,776,030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11,511,852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Series B convertible preferred</w:t>
            </w:r>
          </w:p>
        </w:tc>
        <w:tc>
          <w:tcPr>
            <w:tcW w:w="1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43,084,539</w:t>
            </w:r>
          </w:p>
        </w:tc>
        <w:tc>
          <w:tcPr>
            <w:tcW w:w="240" w:type="dxa"/>
            <w:vAlign w:val="bottom"/>
            <w:vMerge w:val="restart"/>
            <w:shd w:val="clear" w:color="auto" w:fill="CFF0FC"/>
          </w:tcPr>
          <w:p>
            <w:pPr>
              <w:spacing w:after="0"/>
              <w:rPr>
                <w:sz w:val="17"/>
                <w:szCs w:val="17"/>
                <w:color w:val="auto"/>
              </w:rPr>
            </w:pPr>
          </w:p>
        </w:tc>
        <w:tc>
          <w:tcPr>
            <w:tcW w:w="1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43,084,539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602,057,535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603,183,546</w:t>
            </w:r>
          </w:p>
        </w:tc>
        <w:tc>
          <w:tcPr>
            <w:tcW w:w="220" w:type="dxa"/>
            <w:vAlign w:val="bottom"/>
            <w:vMerge w:val="restart"/>
            <w:shd w:val="clear" w:color="auto" w:fill="CFF0FC"/>
          </w:tcPr>
          <w:p>
            <w:pPr>
              <w:spacing w:after="0"/>
              <w:rPr>
                <w:sz w:val="17"/>
                <w:szCs w:val="17"/>
                <w:color w:val="auto"/>
              </w:rPr>
            </w:pPr>
          </w:p>
        </w:tc>
        <w:tc>
          <w:tcPr>
            <w:tcW w:w="1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43,084,539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0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14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vMerge w:val="continue"/>
            <w:shd w:val="clear" w:color="auto" w:fill="CFF0FC"/>
          </w:tcPr>
          <w:p>
            <w:pPr>
              <w:spacing w:after="0"/>
              <w:rPr>
                <w:sz w:val="19"/>
                <w:szCs w:val="19"/>
                <w:color w:val="auto"/>
              </w:rPr>
            </w:pPr>
          </w:p>
        </w:tc>
        <w:tc>
          <w:tcPr>
            <w:tcW w:w="14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vMerge w:val="continue"/>
            <w:shd w:val="clear" w:color="auto" w:fill="CFF0FC"/>
          </w:tcPr>
          <w:p>
            <w:pPr>
              <w:spacing w:after="0"/>
              <w:rPr>
                <w:sz w:val="19"/>
                <w:szCs w:val="19"/>
                <w:color w:val="auto"/>
              </w:rPr>
            </w:pPr>
          </w:p>
        </w:tc>
        <w:tc>
          <w:tcPr>
            <w:tcW w:w="14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78,762,142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78,762,142</w:t>
            </w:r>
          </w:p>
        </w:tc>
        <w:tc>
          <w:tcPr>
            <w:tcW w:w="1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992,363,123</w:t>
            </w: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959,959,576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84,596,391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-719455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-719455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-719455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-719455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-170815</wp:posOffset>
            </wp:positionV>
            <wp:extent cx="768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-170815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-170815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 deemed liquidation events occurred prior to November 15, 2025.</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holders of the Series A-1 convertible preferred stock, Series A-2 voting convertible preferred stock and Series B convertible preferred stock are entitled to vote as a single class with the holders of the Company’s common stock with one vote for each share of common stock that the preferred stock is convertible into. In addition, the holders of preferred stock are entitled to elect five directors of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Series A-2 nonvoting convertible preferred stock do not have any voting rights, except for election of the preferred directors and certain protective rights.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payment of any dividend, except a common stock dividend, to the common stockholders, the holders of preferred stock are entitled to receive an amount at least equal to the amount that would have been received had all shares of preferred stock been converted to common stock immediately prior to issuance of the dividend. As of the date the condensed consolidated financial statements were issued, no cash dividends have been declared or paid.</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any voluntary or involuntary liquidation or a deemed liquidation event, the holders of Series B convertible preferred stock are entitled to receive an amount equal to the greater of: (i) purchase price per share plus any dividends declared but unpaid or (ii) an amount per share as would have been payable had all shares of Series B convertible preferred stock been converted into common stock immediately prior to such event.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payment of such liquidation preferences to the holders of Series B convertible preferred stock, the holders of Series A convertible preferred stock are entitled to receive an amount equal to the greater of: (i) purchase price per share plus any dividends declared but unpaid or (ii) an amount per share as would have been payable had all shares of Series A convertible preferred stock been converted into common stock immediately prior to such event.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payment of such liquidation preferences, holders of common stock receive the remaining assets of the Company available for distribution to its stockholders.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Shares of preferred stock are convertible into common stock based on a defined conversion ratio, which is originally set at one-for one, adjustable for certain dilutive events. As of March 31, 2026, the conversion ratio is 1:1.67 for Series A-1 convertible preferred stock, 1:2.03 for Series A-2 convertible preferred stock, and 1:1 for Series B convertible preferred stock.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Conversion is at the election of the holders of the preferred stock at any time, or automatically upon a qualified initial public offering or at the election of 60% of the holders of the preferred stock. However, if an automatic conversion would result in the holders of the Series A-2 convertible preferred stock holding greater than 19.9% of the capital stock on a fully-diluted basis, the holders of the Series A-2 convertible preferred stock may elect to not convert.</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preferred stock is not redeemable at the election of the holders and is only redeemable upon the occurrence of certain deemed liquidation events, as discussed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authorized capital stock of the Company included 105,384,000 shares of common stock, $0.00001 par value with 29,953 common share issued and outstanding. As of December 31, 2025, the authorized capital stock of the Company included 105,384,000 shares of common stock, $0.00001 par value, with 19,048 shares of common stock issued and outstanding.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voting, dividend and liquidation rights of the holders of the Company’s common stock are subject to the rights, powers and preferences of the holders of the preferred stock set forth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together with the holders of the preferred stock. Common stockholders are entitled to receive dividends, subject to the preferential dividend rights of the preferred stock. Through March 31, 2026, no cash dividends have been declared or paid.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 Company has reserved the following shares of common stock for future issuance:</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540" w:type="dxa"/>
            <w:vAlign w:val="bottom"/>
            <w:gridSpan w:val="2"/>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Shares reserved for conversion of Series A-1</w:t>
            </w:r>
          </w:p>
        </w:tc>
        <w:tc>
          <w:tcPr>
            <w:tcW w:w="122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8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reserved for conversion of Series A-2</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11,511,852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11,511,852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Shares reserved for conversion of Series B</w:t>
            </w: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43,084,539</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43,084,539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reserved for exercise of outstanding stock</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14,457,716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13,470,409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Shares reserved for issuance under equity</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1,030,020</w:t>
            </w:r>
          </w:p>
        </w:tc>
        <w:tc>
          <w:tcPr>
            <w:tcW w:w="160" w:type="dxa"/>
            <w:vAlign w:val="bottom"/>
            <w:vMerge w:val="restart"/>
            <w:shd w:val="clear" w:color="auto" w:fill="CFF0FC"/>
          </w:tcPr>
          <w:p>
            <w:pPr>
              <w:spacing w:after="0"/>
              <w:rPr>
                <w:sz w:val="17"/>
                <w:szCs w:val="17"/>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2,028,232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compensation plans</w:t>
            </w:r>
          </w:p>
        </w:tc>
        <w:tc>
          <w:tcPr>
            <w:tcW w:w="122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vMerge w:val="continue"/>
            <w:shd w:val="clear" w:color="auto" w:fill="CFF0FC"/>
          </w:tcPr>
          <w:p>
            <w:pPr>
              <w:spacing w:after="0"/>
              <w:rPr>
                <w:sz w:val="19"/>
                <w:szCs w:val="19"/>
                <w:color w:val="auto"/>
              </w:rPr>
            </w:pPr>
          </w:p>
        </w:tc>
        <w:tc>
          <w:tcPr>
            <w:tcW w:w="138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shares of authorized common stock reserved</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100,084,127</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100,095,032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0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for future issuance</w:t>
            </w:r>
          </w:p>
        </w:tc>
        <w:tc>
          <w:tcPr>
            <w:tcW w:w="1220" w:type="dxa"/>
            <w:vAlign w:val="bottom"/>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-282575</wp:posOffset>
            </wp:positionV>
            <wp:extent cx="431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-282575</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2024 Equity Incentive Plan (the “2024 Plan”) provides for the Company to sell or issue common stock or restricted stock, or to grant incentive stock options or nonqualified stock options for the purchase of common stock, to employees, directors and consultants of the Company.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number of common shares that may be issued under the 2024 Plan was 15,517,688 shares as of March 31, 2026, of which 1,030,020 shares remained available for future grant.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2024 Plan is administered by the Board, or its delegee. The exercise prices, vesting and other restrictions are determined at the discretion of the Board, or its delegee, except that the exercise price per share of stock options may not be less than 100% of the fair market value of the common stock on the date of grant and the term of the stock option may not be greater than ten years. For any person who owns stock possessing more than 10% of the total combined voting power of all classes of stock of the Company or any affiliate, the exercise price per share of incentive stock options may not be less than 110% of the fair market value of the share of common stock on the date of grant. The Company generally grants stock-based awards with service conditions only (“service-based” awards) which generally vest over three or four years. The Company also has granted performance-based awards which vest upon the achievement of specified events. Stock options generally expire after ten years.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to determine the grant-date fair value of stock options granted were as follows, presented on a weighted-average basis:</w:t>
      </w:r>
    </w:p>
    <w:p>
      <w:pPr>
        <w:spacing w:after="0" w:line="18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40" w:type="dxa"/>
            <w:vAlign w:val="bottom"/>
            <w:gridSpan w:val="2"/>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0"/>
        </w:trPr>
        <w:tc>
          <w:tcPr>
            <w:tcW w:w="1700" w:type="dxa"/>
            <w:vAlign w:val="bottom"/>
          </w:tcPr>
          <w:p>
            <w:pPr>
              <w:spacing w:after="0"/>
              <w:rPr>
                <w:sz w:val="18"/>
                <w:szCs w:val="18"/>
                <w:color w:val="auto"/>
              </w:rPr>
            </w:pPr>
          </w:p>
        </w:tc>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81.8%</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78.3%</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r>
      <w:tr>
        <w:trPr>
          <w:trHeight w:val="630"/>
        </w:trPr>
        <w:tc>
          <w:tcPr>
            <w:tcW w:w="694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14</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during the three months ended March 31, 2026:</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2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0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13,470,409</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1,572,649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(10,905)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(574,437)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14,457,716</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70,560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2026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3,124,983</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-173990</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-156845</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 at March 31, 2026.</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the Company’s stock options granted for the three months ended March 31, 2026 and 2025 was $7.68 and $3.80,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allocated as follows (in thousands):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48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3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2,966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80" w:type="dxa"/>
            <w:vAlign w:val="bottom"/>
          </w:tcPr>
          <w:p>
            <w:pPr>
              <w:spacing w:after="0"/>
              <w:rPr>
                <w:sz w:val="18"/>
                <w:szCs w:val="18"/>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3,939</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80" w:type="dxa"/>
            <w:vAlign w:val="bottom"/>
            <w:shd w:val="clear" w:color="auto" w:fill="CFF0FC"/>
          </w:tcPr>
          <w:p>
            <w:pPr>
              <w:spacing w:after="0"/>
              <w:rPr>
                <w:sz w:val="19"/>
                <w:szCs w:val="19"/>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431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431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total unrecognized compensation cost related to the unvested stock-based awards with service-based vesting conditions was $52.9 million, which is expected to be recognized over a weighted-average period of 3.1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the diluted net loss per share calculation, stock options, unvested restricted stock and convertible preferred stock are considered to be common stock equivalents but have been excluded from the calculation of diluted net loss per share, as their effect would be anti-dilutive for the periods presented. Therefore, the weighted-average number of common shares outstanding used to calculate both basic and diluted net loss per share attributable to common stockholders is the same.</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potentially dilutive common stock equivalents, presented based on amounts outstanding at the period end, were excluded from the computation of diluted net loss per share attributable to common stockholders for the periods indicated because including them would have had an anti-dilutive effect: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56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20" w:type="dxa"/>
            <w:vAlign w:val="bottom"/>
            <w:tcBorders>
              <w:bottom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2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14,457,716</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7,148,095</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00" w:type="dxa"/>
            <w:vAlign w:val="bottom"/>
          </w:tcPr>
          <w:p>
            <w:pPr>
              <w:spacing w:after="0"/>
              <w:rPr>
                <w:sz w:val="17"/>
                <w:szCs w:val="17"/>
                <w:color w:val="auto"/>
              </w:rPr>
            </w:pPr>
          </w:p>
        </w:tc>
        <w:tc>
          <w:tcPr>
            <w:tcW w:w="3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(as converted to</w:t>
            </w:r>
          </w:p>
        </w:tc>
        <w:tc>
          <w:tcPr>
            <w:tcW w:w="1860" w:type="dxa"/>
            <w:vAlign w:val="bottom"/>
            <w:vMerge w:val="restart"/>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84,596,391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39,487,338</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860" w:type="dxa"/>
            <w:vAlign w:val="bottom"/>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99,054,107</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46,635,433</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1700" w:type="dxa"/>
            <w:vAlign w:val="bottom"/>
          </w:tcPr>
          <w:p>
            <w:pPr>
              <w:spacing w:after="0"/>
              <w:rPr>
                <w:sz w:val="24"/>
                <w:szCs w:val="24"/>
                <w:color w:val="auto"/>
              </w:rPr>
            </w:pPr>
          </w:p>
        </w:tc>
        <w:tc>
          <w:tcPr>
            <w:tcW w:w="3500" w:type="dxa"/>
            <w:vAlign w:val="bottom"/>
            <w:tcBorders>
              <w:top w:val="single" w:sz="8" w:color="CFF0FC"/>
            </w:tcBorders>
          </w:tcPr>
          <w:p>
            <w:pPr>
              <w:spacing w:after="0"/>
              <w:rPr>
                <w:sz w:val="24"/>
                <w:szCs w:val="24"/>
                <w:color w:val="auto"/>
              </w:rPr>
            </w:pPr>
          </w:p>
        </w:tc>
        <w:tc>
          <w:tcPr>
            <w:tcW w:w="1860" w:type="dxa"/>
            <w:vAlign w:val="bottom"/>
            <w:tcBorders>
              <w:top w:val="single" w:sz="8" w:color="CFF0FC"/>
            </w:tcBorders>
          </w:tcPr>
          <w:p>
            <w:pPr>
              <w:jc w:val="right"/>
              <w:ind w:right="125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-933450</wp:posOffset>
            </wp:positionV>
            <wp:extent cx="514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-916940</wp:posOffset>
            </wp:positionV>
            <wp:extent cx="51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-933450</wp:posOffset>
            </wp:positionV>
            <wp:extent cx="431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-916940</wp:posOffset>
            </wp:positionV>
            <wp:extent cx="431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for the three months ended March 31, 2026 and 2025, and, to the best of its knowledge, no material legal proceedings are currently pending or threatened.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Hengrui license and collaboration agreement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2024, the Company entered into a license and collaboration agreement (the “Hengrui License Agreement”) with Jiangsu Hengrui Pharmaceuticals Co., Ltd. (“Hengrui”). Upon execution of the Hengrui License Agreement, the Company paid $100.0 million in cash as a non-refundable upfront payment and incurred a $10.0 million technology transfer fee, which was paid in December 2024. The Company also issued 5,677,603 shares of Series A-2 convertible preferred stock. The fair value of these shares is accounted for as additional consideration for the acquired license.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Hengrui License Agreement, the Company obtained the exclusive right to develop, manufacture and commercialize specified programs worldwide, excluding China, Hong Kong, Macau, and Taiwan (the “Territory”). The Company is obligated to use commercially reasonable efforts to advance these programs. The Company may not pursue development of any competitive products, as defined in the Hengrui License Agreement, for a period of two years. The Company also has a right of first refusal on certain programs that are under development by Hengrui as well as options to license specified new form products and combination products developed by Hengrui.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Hengrui must provide certain transition and data sharing services and must also manufacture clinical materials on behalf of the Company upon request.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responsible for all costs of developing and commercializing the programs in the Territory.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obligated to make clinical and regulatory milestone payments of up to an aggregate of $200.0 million. In addition, the Company is obligated to make commercial milestone payments of up to an aggregate of $5.7 billion. The Company is also obligated to make tiered royalty payments ranging from mid-single digit to low-tens based on a percentage of net sales by the Company. If the Company entered into any partnering relationships prior to November 15, 2025, the Company would have been required to pay Hengrui specified percentages of any consideration received based on the timing of when such an agreement was executed. The Company did not enter into any such partnering relationships prior to November 15,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Company elects to receive rights to the specified new form products or combination products, the Company must make option exercise payments of either a mid-seven figure amount or low-eight figure amount, which may be refundable with respect to combination products in certain circumstances.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accounted for the arrangement as an asset acquisition of in-process research and development technology. No expenses were incurred or payments made, under the arrangement, for three months ended March 31, 2026 and 2025. All other future payments will be recognized upon achievement.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2024, the Company entered into the Hengrui License Agreement. As partial consideration for this arrangement, the Company issued shares of Series A-2 convertible preferred stock, which represented 19.9% of the outstanding capital stock of the Company at issuance, on a fully-diluted basis.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as part of the agreement with Hengrui, Hengrui has agreed to provide the Company with manufacturing services and supplies. In connection with these services, the Company recognized $0.4 million in research and development expense in its condensed consolidated statements of operations and comprehensive loss for both the three months ended March 31, 2026 and 2025. Amounts due to Hengrui by the Company in connection with these services totaled $0.6 million and $0.2 million as of March 31, 2026 and December 31, 2025, respectively, which amounts were included in accrued expenses on the consolidated balance sheets.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and manages its business as a single operating segment for the purposes of assessing performance and making operating decisions. The Company’s current focus is on the development of a broad, advanced, and differentiated portfolio of clinical-stage injectable and oral therapies for the treatment of obesity. The Company has one reportable segment. The determination of reportable segments is based on the CODM's use of financial information provided for the purpose of assessing performance and making operating decisions. The Company's CODM is its Chief Executive 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assesses performance for the segment based on net loss. The measure of segment assets is reported on the balance sheet as total assets.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the Company has not generated any product revenue. The Company expects to continue to incur significant expenses and operating losses for the foreseeable future as it advances product candidates through all stages of development and clinical trials and, ultimately, seeks regulatory approval. As such, the CODM uses cash forecast models in deciding how to invest into the segment. Such cash forecast models are reviewed to assess the entity-wide operating results and performance. Net loss is used to monitor budget versus actual results. Monitoring budgeted versus actual results is used in assessing performance of the segment, along with cash forecast models.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expense categories reviewed by the CODM for the three months ended March 31, 2026 and 2025:</w:t>
      </w:r>
    </w:p>
    <w:p>
      <w:pPr>
        <w:spacing w:after="0" w:line="246"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700" w:type="dxa"/>
        <w:tblCellMar>
          <w:top w:w="0" w:type="dxa"/>
          <w:left w:w="0" w:type="dxa"/>
          <w:bottom w:w="0" w:type="dxa"/>
          <w:right w:w="0" w:type="dxa"/>
        </w:tblCellMar>
      </w:tblPr>
      <w:tr>
        <w:trPr>
          <w:trHeight w:val="142"/>
        </w:trPr>
        <w:tc>
          <w:tcPr>
            <w:tcW w:w="53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09"/>
        </w:trPr>
        <w:tc>
          <w:tcPr>
            <w:tcW w:w="53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External research and development</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Ribupatide injection</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(50,571)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(4,469)</w:t>
            </w: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KAI-7535</w:t>
            </w:r>
          </w:p>
        </w:tc>
        <w:tc>
          <w:tcPr>
            <w:tcW w:w="24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(4,483)</w:t>
            </w: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KAI-4729</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Ribupatide oral</w:t>
            </w:r>
          </w:p>
        </w:tc>
        <w:tc>
          <w:tcPr>
            <w:tcW w:w="24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(361)</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Unallocated research and development and other</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(3,574)</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(796)</w:t>
            </w:r>
          </w:p>
        </w:tc>
      </w:tr>
      <w:tr>
        <w:trPr>
          <w:trHeight w:val="216"/>
        </w:trPr>
        <w:tc>
          <w:tcPr>
            <w:tcW w:w="53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4"/>
                <w:szCs w:val="24"/>
                <w:color w:val="auto"/>
                <w:vertAlign w:val="superscript"/>
              </w:rPr>
              <w:t>(3)</w:t>
            </w:r>
          </w:p>
        </w:tc>
        <w:tc>
          <w:tcPr>
            <w:tcW w:w="24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(4,417)</w:t>
            </w: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(3,586)</w:t>
            </w:r>
          </w:p>
        </w:tc>
      </w:tr>
      <w:tr>
        <w:trPr>
          <w:trHeight w:val="216"/>
        </w:trPr>
        <w:tc>
          <w:tcPr>
            <w:tcW w:w="53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Personnel related (including stock-based compensation)</w:t>
            </w:r>
            <w:r>
              <w:rPr>
                <w:rFonts w:ascii="Times New Roman" w:cs="Times New Roman" w:eastAsia="Times New Roman" w:hAnsi="Times New Roman"/>
                <w:sz w:val="24"/>
                <w:szCs w:val="24"/>
                <w:color w:val="auto"/>
                <w:vertAlign w:val="superscript"/>
              </w:rPr>
              <w:t>(4)</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(20,844)</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(11,001)</w:t>
            </w: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2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Pr>
          <w:p>
            <w:pPr>
              <w:spacing w:after="0"/>
              <w:rPr>
                <w:sz w:val="18"/>
                <w:szCs w:val="18"/>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(78,865)</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(17,983)</w:t>
            </w: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-25400</wp:posOffset>
            </wp:positionV>
            <wp:extent cx="514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51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left="760" w:right="20" w:hanging="378"/>
        <w:spacing w:after="0" w:line="282" w:lineRule="auto"/>
        <w:tabs>
          <w:tab w:leader="none" w:pos="7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is allocated to the Company’s programs, and includes nonclinical, clinical trial, contract manufacturing, non-employee consultant and contractor, and other research and development costs.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research and development includes external costs that are not program specific primarily related to consultant and contractor costs, in addition to research and development allocated rent expense and depreciation.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includes external costs related to the Company’s executive, finance, legal, and other administrative functions, such as professional fees for legal, patent, consulting, accounting, audit and tax services. General and administrative also includes information technology costs and general and administrative allocated rent expense and depreciation.</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costs includes salaries and related costs, including stock-based compensation, for employees.</w:t>
      </w:r>
    </w:p>
    <w:p>
      <w:pPr>
        <w:spacing w:after="0" w:line="32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completed an evaluation of all subsequent events after March 31, 2026 through the issuance of the condensed consolidated financial statements, to ensure that these condensed consolidated financial statements include appropriate disclosure of events both recognized in the condensed consolidated financial statements as of March 31, 2026, and events which occurred subsequently but were not recognized in the condensed consolidated financial statements.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20, 2026, the Company completed an initial public offering, pursuant to which the Company issued and sold an aggregate of 44,921,875 shares of its common stock (inclusive of 5,859,375 shares pursuant to the full exercise of the underwriters’ overallotment option) at a public offering price of $16.00 per share for gross proceeds of $718.8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initial public offering, all outstanding shares of preferred stock were converted into 84,596,391 shares of common stock. The certificate of incorporation was also amended and restated which, among other things, adjusted the number of authorized shares to 800,000,000 shares and 10,000,000 shares of common stock and preferred stock, respectively. In addition,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 w:name="page22"/>
    <w:bookmarkEnd w:id="21"/>
    <w:p>
      <w:pPr>
        <w:spacing w:after="0" w:line="282" w:lineRule="auto"/>
        <w:rPr>
          <w:sz w:val="20"/>
          <w:szCs w:val="20"/>
          <w:color w:val="auto"/>
        </w:rPr>
      </w:pPr>
      <w:r>
        <w:rPr>
          <w:rFonts w:ascii="Times New Roman" w:cs="Times New Roman" w:eastAsia="Times New Roman" w:hAnsi="Times New Roman"/>
          <w:sz w:val="18"/>
          <w:szCs w:val="18"/>
          <w:color w:val="auto"/>
        </w:rPr>
        <w:t>adopted the 2026 Incentive Award Plan, which provides for the issuance of equity awards for the purchase of up to 14,011,037 shares of common stock, and the 2026 Employee Stock Purchase Plan, which provides for the issuance of up to 1,295,482 shares of common stock.</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3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unaudited condensed consolidated financial statements and related notes included elsewhere in this Quarterly Report on Form 10-Q, as well as our audited financial statements and notes thereto as of and for the year ended December 31, 2025 and the related Management’s Discussion and Analysis of Financial Condition and Results of Operations included in our final prospectus filed with the Securities and Exchange Commission (“SEC”) pursuant to Rule 424(b) under the Securities Act of 1933, as amended (the “Securities Act”) on April 17, 2026 (the “Prospectus”) that forms a part of our Registration Statement on Form S-1 (File No. 333-294690). This discussion and analysis contains forward-looking statements that involve risks and uncertainties. Factors that could cause or contribute to those differences include, but are not limited to, those identified below and those discussed in the section titled “Risk Factors” in Part II, Item 1A of this Quarterly Report on Form 10-Q. See also the section titled "Special Note Regarding Forward-Looking Statements." Additionally, our historical results are not necessarily indicative of the results that may be expected in any future period. Unless the context otherwise requires, all references in this section to the “Company”, “Kailera”, “we” “our” or “us” refers to the business of Kailera Therapeutics, Inc. and its subsidiaries.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clinical-stage biotechnology company focused on elevating the next era of obesity care by advancing a diversified pipeline to provide options for people living with obesity no matter where they are in their treatment journey. Obesity is a chronic, progressive and debilitating disease that impacts over 1 billion people globally and requires long-term comprehensive treatment. Since obesity is the driving factor for more than 200 comorbidities and represents a significant contributor to increased morbidity and mortality, our vision is to deliver category-leading obesity management medications that give people the power to restore their health and transform their lives. With our obesity-first focus, we have built a diversified pipeline of product candidates specifically designed to address critical needs in the current therapeutic landscape with a lead product candidate that we believe offers the potential for the greatest weight loss.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rapidly progressing four clinical-stage product candidates, leveraging multiple glucagon-like peptide-1, or GLP-1, based mechanisms of action and routes of administration. Our lead product candidate, ribupatide injection (also known as KAI-9531), is currently being evaluated in global Phase 3 trials as a once-weekly injectable GLP-1/glucose-dependent insulinotropic polypeptide, or GIP, receptor dual agonist peptide that we believe offers the potential for the greatest weight loss compared to all obesity management medications currently available or in development. However, we have not conducted head-to-head clinical trials of ribupatide injection or any of our other product candidates against currently approved products or those in development; all of our product candidates are still in clinical development in the United States, and it will take several years to develop and, if approved, commercialize them; and even if we are successful in obtaining regulatory approval, there can be no guarantee as to our product candidates’ ability to outperform other therapies in terms of efficacy or tolerability. We are expanding our ribupatide franchise by developing a once-daily oral tablet formulation, ribupatide oral, to provide a convenient oral option with the potential for highly differentiated tolerability with compelling weight loss among oral treatments. Additionally, we are advancing a second oral product candidate, KAI-7535, a once-daily small molecule GLP-1 receptor agonist with the potential to improve on the clinical profile of existing oral treatments. Finally, we are developing KAI-4729, a once-weekly injectable GLP-1/GIP/glucagon receptor tri-agonist that leverages an incremental mechanism to potentially deliver compelling weight loss, improved liver fat reduction and a differentiated tolerability profile.</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in-licensed ribupatide injection and our other product candidates through a strategic collaboration with Jiangsu Hengrui Pharmaceuticals Co., Ltd., or Hengrui, a global pharmaceutical company with extensive experience in drug discovery and development. In May 2024, we entered into a license and collaboration agreement with Hengrui, or the Hengrui License Agreement, which provides us with exclusive rights to the development and commercialization of our product candidates outside of China, Hong Kong, Macau and Taiwan, or Greater China, with Hengrui responsible for development and commercialization within Greater China.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diversified GLP-1-based pipeline is summarized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774700</wp:posOffset>
            </wp:positionV>
            <wp:extent cx="6172200" cy="3471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1020" w:right="160" w:hanging="503"/>
        <w:spacing w:after="0" w:line="25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2026, we and Hengrui reported positive topline data from Hengrui’s Phase 3 type 2 diabetes, or T2D, clinical trial of KAI-7535 (being developed by Hengrui in Greater China as HRS-7535). In the first of multiple Phase 3 trials, HRS-7535 met the primary endpoint by demonstrating a significant hemoglobin A1c, or HbA1c, reduction in participants with T2D, lowering HbA1c by an average of 1.40% to</w:t>
      </w:r>
    </w:p>
    <w:p>
      <w:pPr>
        <w:spacing w:after="0" w:line="1" w:lineRule="exact"/>
        <w:rPr>
          <w:rFonts w:ascii="Times New Roman" w:cs="Times New Roman" w:eastAsia="Times New Roman" w:hAnsi="Times New Roman"/>
          <w:sz w:val="18"/>
          <w:szCs w:val="18"/>
          <w:color w:val="auto"/>
        </w:rPr>
      </w:pPr>
    </w:p>
    <w:p>
      <w:pPr>
        <w:ind w:left="1020"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 across doses at Week 32, with safety and tolerability data consistent with oral GLP-1-based treatments. Data from Hengrui’s ongoing Phase 3 clinical trial in participants living with obesity is anticipated later this year.</w:t>
      </w:r>
    </w:p>
    <w:p>
      <w:pPr>
        <w:spacing w:after="0" w:line="73"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2026, we and Hengrui reported positive topline data from Hengrui’s Phase 1 single ascending and multiple ascending dose trial of KAI-4729 (being developed by Hengrui in Greater China as HRS-4729). HRS-4729 demonstrated safety and tolerabilty data consistent with GLP-1-based treatments. In a secondary endpoint, HRS-4729 also achieved a mean weight loss of up to 16.0% from baseline and demonstrated meaningful reductions in liver fat at Week 12.</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Since our inception in May 2024, we have devoted substantially all of our resources to organizing and staffing our company, business planning, raising capital, acquiring intellectual property rights, and conducting research and development activities for our product candidates. We do not have any products approved for sale and have not generated any revenue from any sources, including product sales. Through the issuance of the condensed consolidated financial statements included elsewhere in this Quarterly Report on Form 10-Q, we have funded our operations primarily with proceeds from the sale and issuance of shares of our convertible preferred stock, the issuance of convertible promissory notes, which converted into shares of convertible preferred stock, and proceeds from the sale and issuance of our common stock as part of our initial public offering.</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ability to generate product revenue sufficient to achieve profitability will depend heavily on the successful development and eventual commercialization of one or more of our current or future product candidates. Our net loss was $78.9 million and $18.0 million for the three months ended March 31, 2026 and 2025, respectively. As of March 31, 2026, we had an accumulated deficit of $447.5 million. We expect to continue to incur significant expenses and recognize operating losses for at least the next several years as we advance our product candidates through later stage clinical development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securities. As we continue to pursue our business plan, we expect to finance our operations through a combination of equity offerings, debt financings, or other capital sources, including current or potential future collaborations, licenses, and other similar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we had cash, cash equivalents and marketable securities of $581.9 million. We believe that the cash, cash equivalents and marketable securities on hand as of March 31, 2026, together with the $718.8 million of gross proceeds raised in our initial public offering subsequent to March 31, 2026, will be sufficient to fund our operations into mid-2028. We have based this estimate on assumptions that may prove to be wrong, and we could exhaust our available capital resources sooner than we expect. See “—Liquidity and capital resources.”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consolidated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March 31, 2026, we have not generated revenue from any sources, including product sales, and do not expect to generate any revenue from the sale of products in the near future. If development efforts for our product candidates are successful and result in regulatory approval, we may generate revenue in the future from product sales.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development of our product candidates. These expenses include:</w:t>
      </w:r>
    </w:p>
    <w:p>
      <w:pPr>
        <w:spacing w:after="0" w:line="54" w:lineRule="exact"/>
        <w:rPr>
          <w:sz w:val="20"/>
          <w:szCs w:val="20"/>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stock-based compensation expense for employees engaged in research and development;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related to the Hengrui License Agreement;</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nonclinical and clinical development of our product candidates, including under agreements with third parties, such as consultants and contract research organizations, or CROs;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drug products for use in our nonclinical studies and clinical trials, including under agreements with third parties, such as consultants and contract manufacturing organizations, or CMOs;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costs, depreciation and other expenses, which include rent and utilities;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incurred as a result of research and development activities.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direct research and development expenses are tracked on a program-by-program basis for our product candidates and consist primarily of external costs, such as fees paid to consultants, contractors, CROs, and CMOs in connection with our nonclinical, clinical and manufacturing development activities. We do not allocate employee costs and costs associated with facilities, including rent and depreciation, or other indirect costs, to specific product candidates because these costs are deployed across multiple product candidates and, as such, are not separately classified. We use internal resources primarily to conduct our research and discovery activities, as well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as to manage our nonclinical, clinical and manufacturing development activities. These employees work across multiple product candidates and, therefore, we do not track these costs by product candidate.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particularly in obesity,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for increased costs related to the development of our product candidates, which were acquired in May 2024, as we conduct our global Phase 3 trials for ribupatide injection which were initiated in December 2025 and January 2026, as well as continue to advance the development of our other product candidates. We also expect to incur additional expenses related to milestone payments payable related to the acquired intellectual property rights to these product candidates.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successful development and commercialization of our product candidates is highly uncertain. At this time, we cannot reasonably estimate or know the nature, timing and costs of the efforts that will be necessary to complete the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2"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outcome and costs of our research and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drug formulations that can be used in our clinical trials and for commercial launch;</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 candidates following approval.</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 In addition, we may never succeed in obtaining regulatory approval for any of our product candidates. Even if approved, our product candidates may not achieve commercial success.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related benefits, and stock-based compensation expense for personnel in executive, finance, legal, and other administrative functions. General and administrative expenses also include professional fees for legal, patent, consulting, accounting, audit and tax services, information technology costs, and general and administrative allocated rent expense and depreciation.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being a public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equivalents and marketable securities balances.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primarily consists of the change in fair value of the preferred stock tranche right liability, convertible promissory notes for which we elected the fair value measurement option, as well as miscellaneous income and expense unrelated to our core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 from Three Months Ended March 31, 2026 and 2025 (in thousands):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70,873</w:t>
            </w:r>
          </w:p>
        </w:tc>
        <w:tc>
          <w:tcPr>
            <w:tcW w:w="12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13,787</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10,328</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(84,660)</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(20,458)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other income</w:t>
            </w: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(78,865)</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(17,983)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-1019810</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-1019810</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-1019810</wp:posOffset>
            </wp:positionV>
            <wp:extent cx="596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-170815</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by program for the three months ended March 31, 2026 and 2025 (in thousands):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Ribupatide injection</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50,571</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46,102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KAI-7535</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KAI-4729</w:t>
            </w: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Ribupatide oral</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11,474</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Unallocated research and development expenses and</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70,873</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-25400</wp:posOffset>
            </wp:positionV>
            <wp:extent cx="514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-8255</wp:posOffset>
            </wp:positionV>
            <wp:extent cx="514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514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514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$60.7 million from $10.1 million for the three months ended March 31, 2025 to $70.9 million for the three months ended March 31, 2026. The increase was primarily driven by product candidate development and the related nonclinical, clinical, and contract manufacturing costs associated with our portfolio of injectable and oral development programs, as well as an increase in headcount, resulting in an increase in personnel-related expenses, including stock-based compensation, to support our ongoing research and development activities.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Personnel-related expenses primarily includes salaries, related benefits, and stock-based compensation expense for employees engaged in research and development.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Unallocated research and development expenses and other primarily includes external costs that were not program specific, primarily related to consultant and contractor costs, in addition to research and development allocated rent expense and depreciation.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$3.5 million from $10.3 million for the three months ended March 31, 2025 to $13.8 million for the three months ended March 31, 2026. The increase was driven primarily by an increase in headcount, resulting in increases in personnel-related expenses of $1.0 million, stock-based compensation expenses of $1.7 million, and increases in professional service costs as we continue to expand our operations.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for the three months ended March 31, 2026 and 2025 was $5.7 million and $1.7 million, respectively, which related to interest earned from our cash equivalents and marketable securities balances. The increase in interest income was primarily driven by higher cash equivalents and marketable securities balances.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for the three months ended March 31, 2026 and 2025 was $0.1 million and $0.8 million, respectively. Other income, net for the three months ended March 31, 2026 consisted primarily of miscellaneous income unrelated to our core operations. Other income, net for the three months ended March 31, 2025 consisted primarily of income due to the change in fair value of the preferred stock tranche right liability.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our inception, we have not generated revenue from any sources, including from product sales, and have incurred significant operating losses and negative cash flows from our operations. As of March 31, 2026, we had cash, cash equivalents and marketable securities of $581.9 million and an accumulated deficit of $447.5 million. Through March 31, 2026, we have funded our operations primarily with proceeds from the sale and issuance of shares of our convertible preferred stock and the issuance of convertible promissory notes, which converted into shares of convertible preferred stock. Subsequent to March 31, 2026, we received $718.8 million of gross proceeds raised in our initial public offering.</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2026 and 2025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9"/>
        </w:trPr>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73"/>
        </w:trPr>
        <w:tc>
          <w:tcPr>
            <w:tcW w:w="50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1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(68,310)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(18,201)</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(54,440)</w:t>
            </w: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0" w:type="dxa"/>
            <w:vAlign w:val="bottom"/>
            <w:shd w:val="clear" w:color="auto" w:fill="CFF0FC"/>
          </w:tcPr>
          <w:p>
            <w:pPr>
              <w:spacing w:after="0"/>
              <w:rPr>
                <w:sz w:val="18"/>
                <w:szCs w:val="18"/>
                <w:color w:val="auto"/>
              </w:rPr>
            </w:pPr>
          </w:p>
        </w:tc>
        <w:tc>
          <w:tcPr>
            <w:tcW w:w="13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(48,441)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(72,641)</w:t>
            </w:r>
          </w:p>
        </w:tc>
      </w:tr>
      <w:tr>
        <w:trPr>
          <w:trHeight w:val="20"/>
        </w:trPr>
        <w:tc>
          <w:tcPr>
            <w:tcW w:w="5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-170815</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operating activities used $68.3 million of cash, cash equivalents and restricted cash, primarily due to our net loss of $78.9 million, offset by a $7.5 million net decrease in our operating assets and liabilities and non-cash charges of $3.1 million. The changes in operating assets and liabilities primarily related to a net increase in accrued expenses of $9.4 million, partially offset by a net increase in non-current clinical deposits of $1.1 million. Non-cash changes consisted primarily of $3.9 million in stock-based compensation expense, partially offset by $1.2 million in accretion of discounts on our investment portfolio.</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operating activities used $18.2 million of cash, cash equivalents and restricted cash, primarily due to our net loss of $18.0 million, and a net increase of $1.0 million in our operating assets and liabilities, partially offset by non-cash charges of $0.8 million. The changes in operating assets and liabilities primarily related to a net increase in prepaid expenses and other current assets of $2.7 million, partially offset by a net increase in accounts payable and accrued expenses of $1.7 million. Non-cash changes consisted primarily of $1.5 million in stock-based compensation expense, partially offset by $0.8 million in changes in the fair value of the preferred stock tranche right liability.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investing activities provided $22.8 million in cash, cash equivalents and restricted cash consisting of maturities of investments of $71.3 million, partially offset by purchases of investments of $48.4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investing activities used $54.4 million in cash, cash equivalents and restricted cash consisting of purchases of investments of $54.4 million.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financing activities used $3.0 million in cash, cash equivalents and restricted cash consisting of $3.0 million in payments of deferred offering costs related to our initial public offering, partially offset by $0.1 million in proceeds from the exercise of stock options.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our expenses, excluding costs related to the acquisition of in-process intellectual property rights, to increase substantially in connection with our ongoing activities, particularly as we advance our product candidates into later stages of development. Our expenses will also increase as we:</w:t>
      </w:r>
    </w:p>
    <w:p>
      <w:pPr>
        <w:spacing w:after="0" w:line="54"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global clinical trials for ribupatide injection and KAI-7535;</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development of our other product candidates, including initiating Phase 3 clinical trials for ribupatide oral and initiating a Phase 1 trial for KAI-4729;</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in-license or acquire additional product candidates and technologies;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any product candidates that successfully complete clinical trials, if 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clinical, quality control, commercial and scientific personnel;</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infrastructure and facilities to accommodate our growing employee base;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due under the Hengrui License Agreement and any future license or collaboration agreements;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interest or other payments due under any future financing or other arrangements with third parties;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legal, compliance, financial and management information systems and personnel to support our operations as a public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cash, cash equivalents and marketable securities on hand as of March 31, 2026, together with the $718.8 million of gross proceeds raised in our initial public offering subsequent to March 31, 2026, will be sufficient to fund our operations into mid-2028. We have based these estimates on assumptions that may prove to be wrong, and we could utilize our available capital resources sooner than we expect.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such time, if ever, that we can generate product revenue sufficient to achieve profitability, we expect to finance our cash needs through a combination of equity offerings, debt financings, royalty financings or other capital sources, including potential future collaborations, licenses, or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royalty financings, collaboration agreements, strategic alliances, licensing arrangements or marketing and distribution arrangements, we may have to relinquish valuable rights to our future revenue streams, research programs or product candidates or grant licenses on terms that may not be favorable to us. We do not currently have any committed external source of funds.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March 31, 2026, and the effects that such obligations are expected to have on our liquidity and cash flows in future periods: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142"/>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1 to 3</w:t>
            </w:r>
          </w:p>
        </w:tc>
        <w:tc>
          <w:tcPr>
            <w:tcW w:w="200" w:type="dxa"/>
            <w:vAlign w:val="bottom"/>
          </w:tcPr>
          <w:p>
            <w:pPr>
              <w:spacing w:after="0"/>
              <w:rPr>
                <w:sz w:val="10"/>
                <w:szCs w:val="10"/>
                <w:color w:val="auto"/>
              </w:rPr>
            </w:pPr>
          </w:p>
        </w:tc>
        <w:tc>
          <w:tcPr>
            <w:tcW w:w="800" w:type="dxa"/>
            <w:vAlign w:val="bottom"/>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4 to 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5"/>
                <w:szCs w:val="15"/>
                <w:color w:val="auto"/>
              </w:rPr>
            </w:pPr>
          </w:p>
        </w:tc>
        <w:tc>
          <w:tcPr>
            <w:tcW w:w="80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14,958</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2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-170815</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-170815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2025, we entered into lease agreements for office space located in Waltham, Massachusetts and San Diego, California, both of which were scheduled to expire in 2025 and were classified as operating leases. Each lease contained both fixed and variable lease payments. The lease for the premises in Waltham, Massachusetts included an option to extend the lease term for one six-month period.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2025, we executed a new, seven-year, non-cancellable operating lease agreement for approximately 39,500 square feet of office space in Waltham, Massachusetts for our corporate headquarters. The lease commenced in October 2025 following completion of construction to prepare the premises for our intended use. The lease provides for base rent of $2.2 million for the first year, which will increase by approximately 2% each year. Our lease payments also include real estate taxes and other operating expenses allocable to the leased premises, which exceed base year amounts. Upon commencement of the lease, future minimum lease payments for the corporate headquarters were $15.9 million. We have the option to extend the lease for one additional five-year term with base rent calculated on the then-market rate. In accordance with the lease agreement, we maintained a letter of credit of $0.8 million, which is refundable at the end of the lease term. As of March 31, 2026, the underlying cash balance collateralizing this letter of credit was classified as restricted cash (non-current) on our condensed consolidated balance sheets based on the release date of the restrictions of this cash. In connection with the new lease agreement, we amended our existing lease in Waltham, Massachusetts to extend the lease term to end shortly after the lease commencement date of our new lease agreement, which occurred in the fourth quarter of 2025.</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CMOs and other third parties for nonclinical, clinical, manufacturing, and other development services. Payments due upon cancellation consist only of payments for services provided or expenses incurred, including noncancelable obligations of our service providers, up to the date of cancellation. These payments are not included in the preceding table as the amount and timing of such payments are not known.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pursuant to the Hengrui License Agreement, we are required to make certain milestone, royalty and other payments, which are contingent on the achievement or non-achievement of certain specified events. These payments are not included in the preceding table as the amount and timing of such payments are not known.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and any such difference may be material.</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there were no material changes to our critical accounting estimates or in the methodology used for estimates from those described in “Management’s discussion and analysis of financial condition and results of operations” for the year ended December 31, 2025 included in the Prospectus.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 and smaller reporting company status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18"/>
          <w:szCs w:val="18"/>
          <w:color w:val="auto"/>
        </w:rPr>
        <w:t>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intend to rely on other exemptions provided by the JOBS Act, including without limitation, not being required to comply with the auditor attestation requirements of Section 404(b) of the Sarbanes-Oxley Act of 2002. We may take advantage of these exemptions up until the last day of the fiscal year following the fifth anniversary of our initial public offering, or December 31, 2031, or such earlier time that we are no longer an emerging growth company. We would cease to be an emerging growth company if we have more than $1.235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and cash flows is disclosed in Note 2 to our condensed consolidated financial statements appearing elsewhere in this Quarterly Report on Form 10-Q.</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We are a smaller reporting company, as defined by Rule 12b-2 under the Securities Exchange Act of 1934, as amended, or the Exchange Act, and in Item 10(f)(1) of Regulation S-K, and are not required to provide the information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management, including our principal executive officer and principal financial officer, evaluated the effectiveness of the design and operation of our disclosure controls and procedures (as defined in Rules 13a-15(e) and 15d-15(e) under the Exchange Act) as of the end of the period covered by this Quarterly Report on Form 10-Q. Based on such evaluation, our principal executive officer and principal financial officer concluded that </w:t>
      </w:r>
      <w:r>
        <w:rPr>
          <w:rFonts w:ascii="Arial" w:cs="Arial" w:eastAsia="Arial" w:hAnsi="Arial"/>
          <w:sz w:val="16"/>
          <w:szCs w:val="16"/>
          <w:color w:val="auto"/>
        </w:rPr>
        <w:t>a</w:t>
      </w:r>
      <w:r>
        <w:rPr>
          <w:rFonts w:ascii="Times New Roman" w:cs="Times New Roman" w:eastAsia="Times New Roman" w:hAnsi="Times New Roman"/>
          <w:sz w:val="18"/>
          <w:szCs w:val="18"/>
          <w:color w:val="auto"/>
        </w:rPr>
        <w:t>s of the end of the period covered by this Quarterly Report on Form 10-Q,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three months ended March 31, 2026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required to be set forth under this Item 1 is incorporated by reference to Note 13—Commitments and Contingencies—Legal proceedings in the notes to the condensed consolidated financial statements included in Part I, Item 1 of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and the other information in this Quarterly Report on Form 10-Q, including our financial statements and the related notes and the section titled “Management’s Discussion and Analysis of Financial Condition and Results of Operations,” before making an investment in our common stock. Our business, financial condition, results of operations, or prospects could be materially and adversely affected if any of these risks occurs, and as a result, the market price of our common stock could decline and you could lose all or part of your investment. Additional risks and uncertainties not presently known to us or that we currently deem immaterial also may impair our business operation. This Quarterly Report on Form 10-Q also contains forward-looking statements that involve risks and uncertainties. See “Special note regarding forward-looking statements.” Our actual results could differ materially and adversely from those anticipated in these forward-looking statements as a result of certain factors, including those set forth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biotechnology company with a limited operating history. We have incurred significant financial losses since our inception and anticipate that we will continue to incur significant financial losses for the foreseeable future.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We were formed in May 2024 and our operations to date have been limited to pre-commercial activities. All of our current product candidates were initially discovered and initially developed for the Chinese Market by Jiangsu Hengrui Pharmaceuticals Co., Ltd., or Hengrui, which we licensed pursuant to a license and collaboration agreement with Hengrui, or the Hengrui License Agreement, shortly after our formation. We have not yet demonstrated an ability to complete large-scale clinical trials, obtain regulatory approvals, generate revenues, manufacture any product on a commercial scale, or arrange for a third party to do so on our behalf, or conduct sales and marketing activities necessary for successful product commercialization.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we have focused primarily on organizing and staffing our company, business planning, establishing our intellectual property portfolio, raising capital, conducting nonclinical studies and, more recently, clinical trials, and providing general and administrative support for these operations. We have no products approved for commercial sale and have not generated any revenue from product sales to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revenue from any sources, including from product sales, are not profitable and have incurred significant operating losses and negative cash flows from our operations. Net losses and negative cash flows have had, and will continue to have, an adverse effect on our stockholders’ equity and working capital. We expect to continue to incur significant losses for the foreseeable future, and we expect these losses to increase as we continue our research and development of, and seek regulatory approvals for, our product candidates.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117"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global clinical trials for ribupatide injection and ribupatide oral;</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development of our other product candidates, including an ongoing Phase 2 clinical trial for KAI-7535 and initiating a Phase 1 trial for KAI-4729;</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manufacturing strategy to support global scale and long-term continuity;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in-license or acquire additional product candidates and technologies;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any product candidates that successfully complete clinical trials, if any;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such as clinical, quality control, commercial and scientific personnel;</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may obtain marketing approval;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earlier-stage product candidates into clinical development;</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infrastructure and facilities to accommodate our growing employee base;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due under the Hengrui License Agreement and any future license or collaboration agreements;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interest or other payments due under any future financing or other arrangements with third parties;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legal, compliance, financial and management information systems and personnel to support our operations as a public company.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Pharmaceutical product development entails substantial upfront capital expenditures and significant risks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costs, uncertainties, delays and difficulties frequently encountered by clinical-stage biotechnology companies such as ours. Any predictions you make about our future success or viability may not be as accurate as they would otherwise be if we had a longer operating history or a history of successfully developing and commercializing pharmaceutical products.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young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expenses could increase beyond our expectations if we are required by the U.S. Food and Drug Administration, or FDA, or other regulatory authorities to perform clinical trials in addition to those that we currently expect, or if there are any delays in establishing appropriate manufacturing arrangements for, or in completing, our clinical trials or the development of any of our product candidates.</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generated any revenues to date and may never generate any revenue or become profitable or, if we achieve profitability, we may not be able to sustain it.</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generate revenue and become and remain profitable, we must succeed in developing, obtaining regulatory approvals for, and eventually commercializing products that generate significant revenue. This will require us to be successful in a range of challenging activities, including completing clinical trials and obtaining regulatory approval for one or more of our current or future product candidates, and manufacturing, marketing, and selling any products for which we may obtain regulatory approval. We are in the preliminary stages of only a few of these activities. We may never succeed in these activities and, even if we do, we may never generate revenue that is significant enough to achieve profitability. In addition, we have not yet demonstrated an ability to successfully overcome many of the risks and uncertainties frequently encountered by companies in new and rapidly evolving fields, particularly in the pharmaceutical industry. Because of the numerous risks and uncertainties associated with 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product candidates, achieve our strategic objectives or even continue our operations. A decline in the value of our company could also cause you to lose all or part of your investment.</w:t>
      </w: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and a failure to obtain this necessary capital when needed on acceptable terms, or at all, could force us to delay, limit, reduce or terminate our development programs or commercialization efforts.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We expect to continue to spend substantial amounts to continue the clinical and nonclinical development of our product candidates, particularly given the capital-intensive nature of obesity clinical trials. We will need to raise additional capital to complete our currently planned clinical trials and any future clinical trials. Other unanticipated costs may arise in the course of our development efforts. If we are able to gain marketing approval for product candidates that we develop, we will require significant additional amounts of funding in order to launch and commercialize such product candidates and will also be required to make certain milestone and royalty payments under the Hengrui License Agreement. We cannot reasonably estimate the actual amounts necessary to successfully complete the development and commercialization of any product candidate we develop, and we may need substantial additional funding to complete the development and commercialization of our product candidates.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jc w:val="both"/>
        <w:spacing w:after="0" w:line="255" w:lineRule="auto"/>
        <w:rPr>
          <w:sz w:val="20"/>
          <w:szCs w:val="20"/>
          <w:color w:val="auto"/>
        </w:rPr>
      </w:pPr>
      <w:r>
        <w:rPr>
          <w:rFonts w:ascii="Times New Roman" w:cs="Times New Roman" w:eastAsia="Times New Roman" w:hAnsi="Times New Roman"/>
          <w:sz w:val="18"/>
          <w:szCs w:val="18"/>
          <w:color w:val="auto"/>
        </w:rPr>
        <w:t>We could use our capital resources sooner than we currently expect, requiring us to seek additional funds sooner than planned, through public or private equity or debt financings or other sources, such as strategic collaborations. Our failure to raise capital or enter into such other arrangements when needed would have a negative impact on our financial condition and could force us to delay, limit, reduce or terminate clinical trials, our research and development programs or other operations, or lead us to grant rights to third parties to develop and market product candidates that we would otherwise prefer to develop and market ourselves. In addition, we may seek additional capital opportunistically due to favorable market conditions or strategic considerations even if we believe we have sufficient funds for our current or future operating plans. Attempting to secure additional financing may divert our management from our day-to-day activities. See “Management’s Discussion and Analysis of Financial Condition and Results of Operations—Liquidity and capital resources.”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and could increase significantly because of many factors including:</w:t>
      </w:r>
    </w:p>
    <w:p>
      <w:pPr>
        <w:spacing w:after="0" w:line="117" w:lineRule="exact"/>
        <w:rPr>
          <w:sz w:val="20"/>
          <w:szCs w:val="20"/>
          <w:color w:val="auto"/>
        </w:rPr>
      </w:pPr>
    </w:p>
    <w:p>
      <w:pPr>
        <w:ind w:left="380" w:hanging="372"/>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current product candidates, as well as other additional product candidates we may develop and pursue in the future;</w:t>
      </w:r>
    </w:p>
    <w:p>
      <w:pPr>
        <w:spacing w:after="0" w:line="53"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our product candidates and any other additional product candidates we may develop and pursue in the future;</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future product candidates that we may pursue and their development requirements;</w:t>
      </w:r>
    </w:p>
    <w:p>
      <w:pPr>
        <w:spacing w:after="0" w:line="117"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regulatory approval, the costs of commercialization activities for our product candidates, to the extent such costs are not the responsibility of any future collaborators,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regulatory approval, revenue, if any, received from commercial sales of our product candidates or any other additional product candidates we may develop and pursue in the future;</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that trigger payments to Hengrui under the Hengrui License Agreement;</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royalty payments due to Hengrui under the Hengrui License Agreement;</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license or acquire rights to other products, product candidates or technologies;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collaboration arrangements for the development of our product candidates on favorable terms, if at all;</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market development and pre-commercial planning activities;</w:t>
      </w:r>
    </w:p>
    <w:p>
      <w:pPr>
        <w:spacing w:after="0" w:line="53"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including enforcing and defending intellectual property related claims; and</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be certain that additional funding will be available on acceptable terms, or at all. For instance, the trading prices for other biopharmaceutical companies have been highly volatile. We may face difficulties raising capital through sales of our equity or debt securities or such sales may be on unfavorable terms. Similarly, adverse market or macroeconomic conditions or market volatility resulting from global economic developments, political unrest, high inflation, rising interest rates, future public health epidemics or other factors, could materially and adversely affect our ability to consummate an equity or debt financing on favorable terms, or at all.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we expect to incur additional costs associated with operating as a public company. Accordingly, we will need to obtain substantial additional funding in connection with our continuing operations. If we are unable to raise capital when needed or on attractive terms, we will be forced to delay, reduce, or eliminate programs, and may be unable to expand our operations or otherwise capitalize on our business opportunities, as desired, which could materially affect our business, financial condition, results of operations and prospects.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royalty financings or other capital sources, including potential future collaborations, licenses, or other similar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and anti-dilution protections that could adversely affect your rights as a stockholder. Debt financing and equity financing, if available, may involve agreements that include covenants limiting or restricting our ability to take specific actions, such as incurring additional debt, making capital expenditures or declaring dividends, that could adversely impact our ability to conduct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If we raise additional funds through government and other third-party funding, royalty financings, collaboration agreements, strategic alliances, licensing arrangements or marketing and distribution arrangements, we may have to relinquish valuable rights to our future revenue streams, research programs or drug candidates, or grant licenses on terms that may not be favorable to us. We do not currently have any committed external source of funds.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 obtain funds through arrangements with collaborators on terms unfavorable to us or pursue other strategies, all of which could adversely affect your holdings or you as a stockholder.</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 in connection with our initial public offering or other ownership changes.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substantial losses during our history, do not expect to become profitable in the near future and may never achieve profitability. Our U.S. federal net operating loss, or NOL, carryforwards and other tax attributes are subject to expiration, review and possible adjustment by the Internal Revenue Service, or IRS, and state tax authorities.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under Section 382 of the U.S. Internal Revenue Code of 1986, as amended, or the Code, our federal NOL carryforwards may be or become subject to an annual limitation in the event we have had or have in the future an “ownership change.” For these purposes, an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Although we believe there have been one or more ownership changes resulting from past transactions, we have not determined the amount of the cumulative change in our ownership resulting from our initial public offering or other transactions, or any resulting limitations on our ability to utilize our NOL carryforwards and other tax attributes. However, we believe that our ability to utilize our NOL carryforwards and other tax attributes to offset future taxable income or tax liabilities may be limited as a result of ownership changes, including potential changes in connection with our initial public offering. If we earn taxable income, such limitations could result in increased future income tax liability to us and our future cash flows could be adversely affected.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recorded a full valuation allowance related to our NOL carryforwards and other deferred tax assets due to the uncertainty of the ultimate realization of the future benefits of those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Regulatory Approval of Our Product Candidates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ribupatide injection and our other product candidates. If we are unable to successfully develop or commercialize ribupatide injection or any other product candidates, or experience significant delays in doing so, we may continue to incur significant financial losses.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invested, and plan to continue to invest, a significant portion of our efforts and financial resources in the development of ribupatide injection, which is currently in a Phase 3 program. Our ability to generate product revenues, which may not occur for several years, if ever, will depend heavily on the successful development and commercialization of ribupatide injection and our other product candidates. The success of our product candidates depends on a number of factors, including, but not limited to, the following:</w:t>
      </w:r>
    </w:p>
    <w:p>
      <w:pPr>
        <w:spacing w:after="0" w:line="72"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completion, of global clinical trials;</w:t>
      </w:r>
    </w:p>
    <w:p>
      <w:pPr>
        <w:spacing w:after="0" w:line="117"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or any comparable foreign regulatory authority that the applicable product candidate’s risk-benefit ratio for its proposed indication is acceptable;</w:t>
      </w:r>
    </w:p>
    <w:p>
      <w:pPr>
        <w:spacing w:after="0" w:line="53"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authorizations to conduct clinical trials and future marketing approvals from applicable regulatory authorities in all the countries where we intend to conduct clinical trials or seek marketing approval;</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any required post-regulatory approval commitments to applicable regulatory authorities and other post-marketing requirements;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supply chain and commercial manufacturing arrangements with third-party manufacturers;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ribupatide injection and our other product candidates, if and when approved, whether alone or in collaboration with others;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ribupatide injection and our product candidates,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timely and adequate coverage and reimbursement from payors;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no disruption in supply or lack of sufficient quantities of ribupatide injection and our other product candidates;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ribupatide injection and our other product candidates during development and following approval.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Risks and uncertainties related to these factors could cause us to experience significant delays or an inability to successfully commercialize ribupatide injection and our other product candidates, which would materially harm our business.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time-consuming and inherently unpredictable, and if we are ultimately unable to obtain regulatory approval for our product candidates, our business will be substantially harmed.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regulatory approval from the FDA. Foreign regulatory authorities impose similar requirements. The time required to obtain approval by the FDA and comparable foreign authorities is inherently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For instance, jurisdictions outside of the United States, such as Australia, Canada, the United Kingdom, or UK, the European Union, or EU, or Japan, may have different requirements for regulatory approval, which may require us to conduct additional clinical, nonclinical or chemistry, manufacturing and control studies. To date, we have not submitted a New Drug Application, or NDA, to the FDA or similar drug approval submissions to comparable foreign regulatory authorities for any product candidate. We must complete additional nonclinical studies and clinical trials to demonstrate the safety and efficacy of our product candidates in humans before we will be able to seek or obtain approvals for our product candidates.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and future product candidates could fail to receive regulatory approval for many reasons, including the following:</w:t>
      </w:r>
    </w:p>
    <w:p>
      <w:pPr>
        <w:spacing w:after="0" w:line="117" w:lineRule="exact"/>
        <w:rPr>
          <w:sz w:val="20"/>
          <w:szCs w:val="20"/>
          <w:color w:val="auto"/>
        </w:rPr>
      </w:pPr>
    </w:p>
    <w:p>
      <w:pPr>
        <w:ind w:left="380" w:hanging="372"/>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such as those in Australia or Japan, may disagree as to the design or implementation of our clinical trials;</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clinical trials or nonclinical studies;</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to the FDA or similar submissions to foreign regulatory authorities or to obtain regulatory approval in the United States, the EU or elsewhere;</w:t>
      </w:r>
    </w:p>
    <w:p>
      <w:pPr>
        <w:spacing w:after="0" w:line="53"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European Medicines Agency, or EMA,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any product candidate we develop, which would substantially harm our business, results of operations and prospects. The FDA and other comparable foreign authorities have substantial discretion in the approval process and determining when or whether regulatory approval will be granted for any product candidate that we develop. Even if we believe the data collected from future clinical trials of our product candidates are promising, such data may not be sufficient to support approval by the FDA or any other regulatory authority. In addition, even if we were to obtain approval, regulatory authorities may approve any of our product candidates for fewer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8"/>
          <w:szCs w:val="18"/>
          <w:color w:val="auto"/>
        </w:rPr>
        <w:t>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or CTR, which was adopted in April 2014 and repeals the EU Clinical Trials Directive, became applicable on January 31, 2022. While the EU Clinical Trials Directive required a separate clinical trial application, or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contract research organizations, or CROs, may impact our development plans.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FDA and foreign regulatory authorities may change their approval policies and new regulations may be enacted. For instance, the EU pharmaceutical legislation has been undergoing a complete review in the context of the Pharmaceutical Strategy for Europe initiative, launched by the European Commission in November 2020. The European Commission introduced legislative proposals in April 2023 that, if adopted, will replace the current regulatory framework in the EU for all medicines (including those for rare diseases and for children). The proposed changes were since discussed and negotiated by the European Parliament and the Council of the EU as part of the EU ordinary legislative process. In April 2024, the European Parliament adopted its position on the legislative proposals and, in June 2025, the Council of the EU adopted its position. A provisional agreement on the text was reached on December 11, 2025. Following positive votes by member states and the European Parliament on the provisional agreement in March 2026, the proposed revisions (affecting the duration of regulatory data protection and market protection, including for orphan medicinal products, revising the eligibility for expedited pathways, etc.) must now be formally adopted by the Ministers of Health in the Employment, Social Policy, Health and Consumer Affairs Council, or EPSCO, and the European Parliament Plenary, currently anticipated in the second half of 2026. The proposed changes are not expected to become applicable before 2028 but may have a significant impact on the pharmaceutical industry and our business in the long term.</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on April 28, 2025, the UK adopted an amendment to the Medicines for Human Use (Clinical Trials) Regulations 2004 intended to support a more streamlined and flexible regulation of clinical trials, removing unnecessary administrative burdens on trial sponsors, whilst protecting the interests of trial participants. It also intends to bring the UK regulatory framework for clinical trials, which is still based on the EU Clinical Trials Directive, into closer alignment with the (EU) CTR. The amendment will become applicable on April 28, 2026 following a one-year transition period. If we are slow or unable to adapt to changes in existing requirements or the adoption of new requirements or policies governing clinical trials, our development plans may be adversely impacted.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or comparable foreign regulatory authorities may disagree with our regulatory plan for our product candidates.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order to obtain FDA approval of our product candidates, we must, among other things, demonstrate substantial evidence of the effectiveness of such product candidates. FDA has generally considered this demonstration to require data gathered from two or more adequate and well-controlled clinical trials of the product candidate in the relevant patient population, or in some cases, one adequate and well-controlled trial plus other confirmatory evidence. Adequate and well-controlled clinical trials typically involve a large number of patients, have significant costs and take years to complete. The FDA or other regulatory authorities may disagree with us about whether a clinical trial is adequate and well-controlled or may request that we conduct additional clinical trials prior to granting any regulatory approval. In addition, there is no assurance that the doses, endpoints and trial designs that we intend to use for our planned clinical trials, including those that we have developed based on feedback from the FDA or other regulatory agencies or those that have been used for the approval of similar drugs, will be acceptable for future approvals. For example, while we have designed our Phase 3 program for ribupatide injection after receiving input and feedback from the FDA and other regulatory agencies, there can be no assurance that the design of our planned clinical trials will be satisfactory to such agencies or that such agencies will not require us to modify our trials or conduct additional testing, or that completing these trials will result in regulatory approval. For instance, in connection with their review of our KaiNETIC Phase 3 program, regulatory agencies, particularly those outside of the U.S., may disagree with elements of our clinical trial design, including dose selection and control arms, and utilization of data collected outside of the applicable territory. While we plan to initiate global Phase 3 trials of ribupatide oral as early as the first half of 2027, our plans are subject to discussions with regulatory agencies, including the FDA. We are not currently planning to conduct a global Phase 2 dose-ranging trial or Phase 1 pharmacokinetic bridging trial for ribupatide oral prior to commencing global Phase 3 clinical trials. The FDA</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and other regulatory agencies may disagree with our clinical development strategy or the designs of our proposed Phase 3 trials for ribupatide oral, including but not limited to dose selection, sample size and utilization of data collected outside of the applicable territory. Even if our Phase 3 clinical trials achieve their primary endpoint, there can be no assurance that the FDA and other regulatory agencies will find them sufficient to support approval.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clinical trial results may not support approval of our product candidates. In addition, our product candidates could fail to receive regulatory approval, or regulatory approval could be delayed, for many reasons, including the following:</w:t>
      </w:r>
    </w:p>
    <w:p>
      <w:pPr>
        <w:spacing w:after="0" w:line="54"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file or accept our NDAs or marketing application for substantive review;</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dosing regimen, design or implementation of our clinical trials;</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53"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our nonclinical studies or clinical trials;</w:t>
      </w:r>
    </w:p>
    <w:p>
      <w:pPr>
        <w:spacing w:after="0" w:line="117"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the satisfaction of the FDA or comparable foreign regulatory authorities to support the submission of an NDA or other comparable submission in foreign jurisdictions or to obtain regulatory approval in the United States or elsewhere;</w:t>
      </w:r>
    </w:p>
    <w:p>
      <w:pPr>
        <w:spacing w:after="0" w:line="67"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EMA or comparable foreign regulatory authorities may significantly change in a manner rendering our clinical data insufficient for approval.</w:t>
      </w:r>
    </w:p>
    <w:p>
      <w:pPr>
        <w:spacing w:after="0" w:line="2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and nonclinical development involves a lengthy and expensive process with an uncertain outcome, and the results of prior clinical trials and studies involving our product candidates are not necessarily predictive of our future results. Our product candidates may not show favorable results in nonclinical studies or clinical trials or receive regulatory approval on a timely basis, if at all.</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Pharmaceutical development is expensive and can take many years to complete, and its outcome is inherently uncertain. We cannot guarantee that any clinical trials or nonclinical studies will be conducted as planned, including whether we are able to meet expected timeframes for data readouts, or completed on schedule, if at all, and failure can occur at any time during the trial or study process, including due to factors that are beyond our control.</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Any of our current or future product candidates in later stages of clinical trials may fail to show the desired characteristics despite having progressed through nonclinical studies and initial clinical trials. The results from nonclinical studies or clinical trials of any of our current and future product candidates, or a competitor’s product candidate in the same class, may not predict the results of later clinical trials of any of our current or future product candidates. It is not uncommon to observe results in clinical trials that are unexpected based on nonclinical studies and early clinical trials, and many product candidates fail in later stage clinical trials despite very promising early results. In addition, we do not know whether ribupatide injection will demonstrate weight loss similar to that seen in clinical trials conducted in China by Hengrui. In particular, most of the ribupatide injection clinical data that has been generated to date has been in Chinese patient cohorts based on a maximum dose of 8 mg, however, in our ongoing Phase 3 program of ribupatide injection, we intend to study a dosing regimen of up to 10 mg in populations outside of China. We have limited information as to whether the new dosing regimen will result in a favorable balance between weight loss and tolerability profile and cannot guarantee that we will not need to further optimize the ribupatide injection dosing regimen in the future. A number of companies in the biopharmaceutical and biotechnology industries have suffered significant setbacks in clinical development even after achieving promising results in earlier studies. Such setbacks have occurred and may occur for many reasons, including, but not limited to: clinical sites and investigators may deviate from clinical trial protocols, whether due to lack of training or otherwise, and we may fail to detect any such deviations in a timely manner; patients may fail to adhere to any required clinical trial procedures, including any requirements for post-treatment follow-up; our product candidates may fail to demonstrate safety, purity or potency (or efficacy) in certain patient subpopulations, which has not been observed in earlier trials due to limited sample size, lack of analysis or otherwise; or our clinical trials may not adequately represent the patient populations we intend to treat, whether due to limitations in our trial designs or otherwise, such as where one patient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8"/>
          <w:szCs w:val="18"/>
          <w:color w:val="auto"/>
        </w:rPr>
        <w:t>subgroup is overrepresented in the clinical trial. There can be no assurance that we will not suffer similar setbacks despite the data we observed in earlier or ongoing studies. For example, if a higher-than-expected number of patients drop out of clinical trials prior to completion either as a result of their failure to lose weight on placebo or as a result of side effects on an active arm, we may experience difficulties completing trials with adequate numbers of patients to generate sufficient data to support a marketing application. Moreover, nonclinical and clinical data may be susceptible to varying interpretations and analyses. Because ribupatide injection and ribupatide oral are based on the same peptide, if ribupatide injection does not show safety or efficacy in clinical trials, it may negatively impact the development of ribupatide oral, and vice versa. Based upon negative or inconclusive results, we or any current or any future collaborator may decide, or regulators may require us, to conduct additional nonclinical studies or clinical trials, which would cause us to incur additional operating expenses and delays and may not be sufficient to support regulatory approval on a timely basis or at all.</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inherently uncertain as to outcome. We cannot guarantee that any clinical trials will be conducted as planned or completed on schedule, if at all. The clinical development of our initial and potential additional product candidates is susceptible to the risk of failure inherent at any stage of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any of our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adverse events or other adverse events, as well as tolerability issues, could hinder or prevent market acceptance of the product candidate at issue.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foregoing reasons, we cannot be certain that our ongoing and planned clinical trials and nonclinical studies will be successful.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and nonclinical studies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and nonclinical studies, which is based on a preliminary analysis of then-available data, and the results and related findings and conclusions are subject to change following a more comprehensive review of the data related to the particular study or trial. We may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Interim data from clinical trials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In addition, clinical trials with smaller sample sizes can be disproportionately influenced by various biases associated with clinical trial conduct, which limits the ability to generalize the results across a broader population, making the clinical trial results less likely to be replicated than clinical trials with a larger number of patients. For example, in our planned global Phase 3 trials for ribupatide oral, we plan to enroll a larger number of participants than were enrolled in the Phase 2 clinical trial conducted by Hengrui and may not be able to replicate the weight loss seen in the prior Hengrui Phase 2 trial. Further, disclosure of interim data by us or by our competitors could result in volatility in the price of our common stock.</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Moreover,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reached, our ability to obtain approval for and commercialize any of our current or future product candidates may be harmed, which could harm our business, financial condition, results of operations and prospects.</w:t>
      </w:r>
    </w:p>
    <w:p>
      <w:pPr>
        <w:spacing w:after="0" w:line="2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difficulties or delays in the commencement or completion, or the termination or suspension, of our current or planned clinical trials or nonclinical studies could result in increased costs to us, delay or limit our ability to receive approval for and commercialize any product candidates and generate revenue.</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Before obtaining approval from regulatory authorities for the sale of any of our current or future product candidates, we must conduct extensive nonclinical studies and clinical trials to demonstrate the safety and efficacy (for small molecule drugs) or safety, purity, and potency (for biologics) of our product candidates. In addition, before we can initiate clinical development for any future nonclinical product candidates, we must submit the results of nonclinical studies to the FDA or comparable foreign regulatory authorities along with other information, including information about product candidate chemistry, manufacturing, and controls, and our proposed clinical trial protocol, as part of an Investigational New Drug, or IND, application, or similar regulatory submission to foreign regulatory authorities for clinical trials outside of the United States. The FDA or comparable foreign regulatory authorities may require us to conduct additional nonclinical studies for any future product candidates before it allows us to initiate clinical trials under any IND or similar foreign regulatory submission, which may lead to delays or increase the costs of developing future product candidates. Moreover, issues may arise that could cause regulatory authorities to suspend or terminate our ongoing or planned clinical trials. Any such delays in the commencement or completion, or the termination or suspension, of our ongoing and planned clinical trials or nonclinical studies could significantly affect our product development timelines and product development costs. We do not know whether our planned clinical trials or nonclinical studies will begin on time or if our ongoing or future trials or studies will be completed on schedule, if at all. The commencement, data readouts and completion of clinical trials and nonclinical studies can be delayed for a number of reasons, including delays related to:</w:t>
      </w:r>
    </w:p>
    <w:p>
      <w:pPr>
        <w:spacing w:after="0" w:line="79" w:lineRule="exact"/>
        <w:rPr>
          <w:sz w:val="20"/>
          <w:szCs w:val="20"/>
          <w:color w:val="auto"/>
        </w:rPr>
      </w:pPr>
    </w:p>
    <w:p>
      <w:pPr>
        <w:ind w:left="38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animals or materials to initiate and generate sufficient nonclinical, toxicology, or other in vitro data to support the initiation or continuation of clinical trials;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non-acceptance of nonclinical or clinical data generated in China by Hengrui;</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authorization from regulatory authorities to commence a clinical trial or reaching a consensus with regulatory authorities on trial design;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policies, and guidelines;</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contract research organizations, or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one or more institutional review boards, or IRBs, or ethics committees, or ECs, at clinical trial sites;</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IRBs/ECs refusing to approve, suspending, or terminating the trial at an investigational site, precluding enrollment of additional patients, or withdrawing their approval of the trial;</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clinical trial protocol;</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the trial protocol or dropping out of a trial;</w:t>
      </w:r>
    </w:p>
    <w:p>
      <w:pPr>
        <w:spacing w:after="0" w:line="117"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to perform in accordance with Good Clinical Practice, or GCP, requirements or applicable regulatory requirements or guidelines in other countries;</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sufficient quantities of any of our current or future product candidates, including in respect of any combination product candidates, and related raw materials or obtaining sufficient quantities of other materials needed for use in clinical trials and nonclinical studies;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failing to enroll or remain in our trials at the rate we expect, or failing to return for post-treatment follow-up;</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choosing alternative treatments for the indications for which we are developing any of our current or future product candidates, or participating in competing clinical trials;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trials or nonclinical studies or costs being greater than we anticipate;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experiencing severe or serious unexpected drug-related adverse effects;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ind w:left="380" w:hanging="372"/>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companies that could be considered similar to any of our current or future product candidates;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extended analysis of the resulting data;</w:t>
      </w:r>
    </w:p>
    <w:p>
      <w:pPr>
        <w:spacing w:after="0" w:line="117"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third-party manufacturers, delays or failure by our third-party manufacturers or us to make any necessary changes to such manufacturing process, or failure of such third-party manufacturers to produce clinical trial materials in accordance with current Good Manufacturing Practices, or cGMPs, regulations or other applicable requirements;</w:t>
      </w:r>
    </w:p>
    <w:p>
      <w:pPr>
        <w:spacing w:after="0" w:line="6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being unwilling or unable to satisfy their contractual obligations in a timely manner;</w:t>
      </w:r>
    </w:p>
    <w:p>
      <w:pPr>
        <w:spacing w:after="0" w:line="117"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actions claiming infringement by our product candidates in clinical trials outside the United States and obtaining injunctions interfering with our progress; and</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natural disasters including earthquakes, typhoons, floods, and wildfires, or disease.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Clinical trials must be conducted in accordance with the FDA and other applicable regulatory authorities’ legal requirements, regulations or guidelines, and are subject to oversight by these governmental agencies and ECs or IRBs at the medical institutions where the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including a clinical hold, or termination due to a number of factors, including, among other reasons, failure to conduct the clinical trial in accordance with GCP and other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we and Hengrui are currently conducting, and we, Hengrui and any future collaborators may in the future conduct, clinical trials in foreign countries, which presents additional risks that may delay completion of our clinical trials. For example, Hengrui is currently conducting clinical trials in China. These risks include the failure of enrolled patients in foreign countries to adhere to clinical protocols as a result of differences in healthcare services or cultural customs, managing additional administrative burdens associated with foreign regulatory schemes, and political and economic risks relevant to such foreign countries, including war. See “Risks Related to the Development and Regulatory Approval of Our Product Candidates—We currently, and may in the future, conduct certain of our clinical trials for our product candidates outside of the United States. However, the FDA and foreign regulatory authorities may not accept data from such trials, which could materially harm our business.”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have served and may in the future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any of our current or future product candidates.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the factors that cause, or lead to, the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any of our current or future product candidates. In such cases, our competitors may be able to bring products to market before we do, and the commercial viability of any of our current or future product candidates could be significantly reduced. Any of these occurrences may harm our business, financial condition, results of operations and prospects.</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organization, we have never completed late-stage clinical trials or submitted a NDA, and may be unable to do so for any of our product candidates.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need to successfully complete clinical development, including late-stage clinical trials, in order to obtain FDA or comparable regulatory authority approval to market ribupatide injection or any future product candidates. Carrying out late-stage clinical trials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18"/>
          <w:szCs w:val="18"/>
          <w:color w:val="auto"/>
        </w:rPr>
        <w:t>the submission of a successful NDA is a complicated process. As an organization, we are in the process of conducting Phase 3 clinical trials for ribupatide injection and have not yet completed any late-stage clinical trials for ribupatide injection or any other current and future product candidates. We have limited experience as a company in preparing, submitting and prosecuting regulatory filings and have not previously submitted a NDA or other comparable foreign regulatory submission for any product candidate. We also plan to conduct a number of clinical trials for multiple product candidates in parallel over the next several years. This may be a difficult process to manage with our limited resources. In addition, we have had limited interactions with the FDA and cannot be certain how the FDA or comparable foreign regulatory authorities will require such trials to be designed. Consequently, we may be unable to successfully and efficiently execute and complete necessary clinical trials in a way that supports a successful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submitting NDAs for and commercializing our product candidates.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product candidates proceed through nonclinical studies to late-stage clinical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For instance, we are seeking to develop alternative synthesis strategies for certain of our peptide product candidates and conduct formulation development on certain of our oral product candidates.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when we make formulation or manufacturing changes to any of our current or future product candidates, we may need to conduct additional nonclinical studies or clinical trials to bridge our current versions of any of our current or future product candidates to earlier versions. If we are unable to conduct such studies or trials, or if we otherwise fail to adequately bridge the current versions of our product candidates to earlier versions, then we may be unable to utilize any data we have gathered from studies or trials that evaluated such earlier versions in our planned regulatory submissions, and we could be required to perform additional testing, which could delay our programs. For example, in future studies of ribupatide injection, we currently plan to utilize materials produced by a different third-party manufacturer than the third-party manufacturer that produced ribupatide injection in prior studies and that are formulated as autoinjectors and/or multi-use pens rather than the pre-filled syringes used in prior studies of ribupatide injection, and we may be unable to demonstrate full comparability between lots produced by our current manufacturer and any future supplier. As a result, we may be required to gather additional data before we are able to submit a marketing application for ribupatide injection or any of our other current or future product candidates, if ever. Any delay of clinical trials, the repetition of one or more clinical trials, increases in clinical trial costs or delays in approval of our product candidates could jeopardize our ability to commence sales and generate revenue, if approved.</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If we encounter difficulties or delays enrolling patients in our clinical trials, our clinical development activities could be delayed or otherwise adversely affected.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identify and enroll a specified and sufficient number of eligible patients to participate and remain in the trial until its conclusion for each of our clinical trials. We may not be able to initiate or continue certain clinical trials if we are unable to identify and enroll a sufficient number of eligible patients to participate in these trials as required by the FDA or comparable foreign regulatory authorities outside the United States. Patient enrollment, a significant factor in the timing of clinical trials, is affected by many factors, including the size and characteristics of the patient population, the process for identifying patients, the proximity and availability of clinical trial sites for prospective patients, the inclusion and exclusion criteria for the trial, the design of the clinical trial, our ability to recruit clinical trial investigators with the appropriate competencies and experience, and competing clinical trials and clinicians’ and patients’ perceptions as to the potential advantages and risks of the product candidates being studied in relation to other available therapies, including any new products that may be approved for the indications we are investigating as well as any product candidates under development. We will be required to identify and enroll a sufficient number of patients for each of our clinical trials, obtain and maintain patient consent for each patient enrolled, and monitor such patients adequately during and after treatment. Potential patients for any planned clinical trials may not be adequately diagnosed or identified with the diseases which we are targeting, which could adversely impact the outcomes of our trials and could have safety concerns for the potential patients. Potential patients for any planned clinical trials may also not meet the entry criteria for such trials.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other pharmaceutical companies targeting obesity are recruiting clinical trial patients from these patient populations, which may make it more difficult to fully enroll our clinical trials. Our clinical trials will compete with marketed products that are available for use in the same disease areas as our product candidates, and other clinical trials for investigational product candidates in the same disease areas as our product candidates. This competition could reduce the number and types of patients available to us, because some patients who might have opted to enroll in our clinical trials may instead opt to receive an approved therapy or enroll in a trial being conducted by one of our competitors. The timing of our clinical trials depends, in part, on the speed at which we can recruit patients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jc w:val="both"/>
        <w:spacing w:after="0" w:line="254" w:lineRule="auto"/>
        <w:rPr>
          <w:sz w:val="20"/>
          <w:szCs w:val="20"/>
          <w:color w:val="auto"/>
        </w:rPr>
      </w:pPr>
      <w:r>
        <w:rPr>
          <w:rFonts w:ascii="Times New Roman" w:cs="Times New Roman" w:eastAsia="Times New Roman" w:hAnsi="Times New Roman"/>
          <w:sz w:val="18"/>
          <w:szCs w:val="18"/>
          <w:color w:val="auto"/>
        </w:rPr>
        <w:t>participate in our trials, as well as completion of required follow-up periods. Moreover, the changing clinical trial landscape in obesity, with increased availability of marketed or compounded obesity management medications that are contraindicated in our clinical trials, may make patient recruitment and retention more difficult. The eligibility criteria of our clinical trials, once established, may further limit the pool of available trial participants. If patients are unwilling or unable to participate in our trials for any reason, including the existence of concurrent clinical trials for similar target populations, the availability of approved therapies, or the fact that enrolling in our trials may prevent patients from taking a different product, or we otherwise have difficulty enrolling a sufficient number of patients, the timeline for recruiting patients, conducting trials and obtaining regulatory approval of any of our current or future product candidates may be delayed. Our inability to enroll a sufficient number of patients for any of our future clinical trials would result in significant delays or may require us to abandon one or more clinical trials altogether.</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rely on, and will continue to rely on, CROs and clinical trial sites to ensure proper and timely conduct of our clinical trials and nonclinical studies. Though we have entered into agreements governing their services, we have limited influence over their actual performance. We cannot be certain that our assumptions used in determining expected clinical trial timelines are correct or that we will not experience delays or difficulties in enrollment, or be required by the FDA or other regulatory authority to increase our enrollment, which would result in the delay of completion of such trials beyond our expected timelines.</w:t>
      </w:r>
    </w:p>
    <w:p>
      <w:pPr>
        <w:spacing w:after="0" w:line="2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Use of any of our current or future product candidates could be associated with side effects, adverse events or other properties or safety risks, which could delay or preclude regulatory approval, cause us to suspend or discontinue clinical trials, abandon any of our current or future product candidates, limit the commercial profile of an approved label or result in other significant negative consequences that could severely harm our business, financial condition, results of operations and prospects.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Results of our, Hengrui’s or any future collaborators’ clinical trials could reveal a high and unacceptable severity and prevalence of expected or unexpected side effects or unexpected characteristics. Undesirable side effects caused by our product candidates when used alone or in combination with approved or investigational drugs could cause us or regulatory authorities or IRBs to interrupt, delay or halt clinical trials and could result in a more restrictive label, or lead to the delay or denial of regulatory approval by the FDA or comparable foreign regulatory authorities. For example, in clinical trials of ribupatide injection conducted to date, drug-related adverse events including nausea, vomiting, diarrhea and alopecia have been observed. These and any other drug-related side effects could affect patient recruitment or the ability of enrolled patients to complete the trials, lead to poor data, or result in potential product liability claims. Any of these occurrences may harm our business, financial condition, results of operations and prospects significantly.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if any of our current or future product candidates are associated with undesirable side effects in clinical trials or demonstrate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such product candidate if approved. Additionally, adverse developments in clinical trials of product candidates conducted by others or adverse events associated with commercial products offered by others may cause the FDA or other regulatory oversight bodies to suspend or terminate our clinical trials or change the requirements for approval of any of our product candidates, or otherwise adversely affect the clinical and commercial development of our product candidates.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also be required to modify our development and clinical trial plans based on findings in our ongoing clinical trials or concerns of the FDA or other regulatory authorities.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possible that as we, Hengrui or any future collaborators test any of our current or future product candidates in larger, longer and more extensive clinical trials, including with different dosing regimens, or as the use of these product candidates becomes more widespread following any regulatory approval, more illnesses, injuries, discomforts and other adverse events than were observed in earlier trials, as well as new conditions that did not occur or went undetected in previous trials, may be discovered. If such side effects become known later in development or upon approval, if any, such findings may harm our business, financial condition, results of operations and prospects significantly.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may study any of our current or future product candidates in combination with other therapies, which may exacerbate adverse events associated with such product candidate. If significant adverse events or other side effects are observed in any of our ongoing or planned clinical trials, we may have difficulty recruiting patients to the clinical trials, or we may be required to abandon the trials or our development efforts of that product candidate altogether. We, the FDA, other comparable foreign regulatory authorities or an IRB may suspend clinical trials of a product candidate at any time for various reasons, including a belief that subjects in such trials are being exposed to unacceptable health risks or adverse side effects. Even if the side effects do not preclude the product candidate from obtaining or maintaining regulatory approval, undesirable side effects may inhibit market acceptance due to tolerability concerns as compared to other available therapies. Any of these developments could materially harm our business, financial condition and prospects.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Risk Evaluation and Mitigation Strategy, or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Hengrui or our future collaborators may also be required to adopt a REMS or engage in similar actions, such as patient education, certification of health care professionals or specific monitoring, if we or others later identify undesirable side effects caused by any product that we develop alone. Other potentially significant negative consequences associated with adverse events include:</w:t>
      </w:r>
    </w:p>
    <w:p>
      <w:pPr>
        <w:spacing w:after="0" w:line="84" w:lineRule="exact"/>
        <w:rPr>
          <w:sz w:val="20"/>
          <w:szCs w:val="20"/>
          <w:color w:val="auto"/>
        </w:rPr>
      </w:pPr>
    </w:p>
    <w:p>
      <w:pPr>
        <w:ind w:left="380" w:hanging="372"/>
        <w:spacing w:after="0" w:line="28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 ECs, or safety monitoring committees may recommend that enrollment or dosing be placed on hold or that additional safety measures be implemented for ongoing clinical trials;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suspend marketing of a product, or we may decide to remove such product from the marketplace;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change their approvals of a product;</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or contraindications on the label or limit access of a product to selective specialized centers with additional safety reporting and with requirements that patients be geographically close to these centers for all or part of their treatment;</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a product for patients, or to conduct post-marketing studies;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dosed, distributed, or administered, or conduct additional clinical trials;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 or be sued and held liable for harm caused to subjects or patients; and</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may become less competitive, and our reputation may suffer.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prevent us from achieving or maintaining market acceptance of our product candidates, if approved by the FDA or other regulatory authorities.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of our current or future product candidates receive regulatory approval, they may be subject to stringent labeling requirements, including the potential imposition of a boxed warning. A boxed warning, also known as a “Black Box” warning, is ordinarily used to highlight for prescribers one of the following situations: (1) There is an adverse reaction so serious in proportion to the potential benefit from the drug (e.g., a fatal, life threatening or permanently disabling adverse reaction) that it is essential that it be considered in assessing the risks and benefits of using the drug; (2) or there is a serious adverse reaction that can be prevented or reduced in frequency or severity by appropriate use of the drug (e.g., patient selection, careful monitoring, avoiding certain concomitant therapy, addition of another drug or managing patients in a specific manner, avoiding use in a specific clinical situation); or</w:t>
      </w:r>
    </w:p>
    <w:p>
      <w:pPr>
        <w:spacing w:after="0" w:line="5" w:lineRule="exact"/>
        <w:rPr>
          <w:sz w:val="20"/>
          <w:szCs w:val="20"/>
          <w:color w:val="auto"/>
        </w:rPr>
      </w:pPr>
    </w:p>
    <w:p>
      <w:pPr>
        <w:ind w:firstLine="8"/>
        <w:spacing w:after="0" w:line="260" w:lineRule="auto"/>
        <w:tabs>
          <w:tab w:leader="none" w:pos="26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approved the drug with restrictions to ensure safe use because the FDA concluded that the drug can be safely used only if distribution or use is restricted.</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has required the full prescribing information of approved GLP-1 obesity management medications, such as Wegovy and Zepbound, to carry a boxed warning regarding the risk of thyroid C-cell tumors. The boxed warnings state that semaglutide and tirzepatide, the active ingredients in Wegovy and Zepbound, respectively, cause thyroid C-cell tumors in rodents, but that it is unknown whether Wegovy and Zepbound cause thyroid C-cell tumors in humans. The boxed warnings for both drugs also indicate that they are contraindicated in patients with a personal or family history of medullary thyroid carcinoma or in patients with multiple endocrine neoplasia syndrome type 2. We expect that the label of our GLP-1 monotherapy or any future GLP-1 combination product candidates we may develop, if approved, may carry similar warnings.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FDA requires us to include a boxed warning in the prescribing information of any of our current or future product candidates, the inclusion of the boxed warning could adversely affect the market acceptance and commercial success of any of our current or future product candidates. The inclusion of a boxed warning could diminish the usage or otherwise limit the commercial success of our product candidates and prevent us from achieving or maintaining market acceptance of our product candidates, if approved by the FDA or other regulatory authorities.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competitors who are developing products in the obesity management medication field or that utilize a similar mechanism of action as us may experience problems with their products that could indicate or result in class-wide problems or additional requirements that would potentially harm our business. For example, in January 2024, the FDA announced that it was evaluating reports of suicidal thoughts or actions in patients treated with GLP-1 receptor agonists. While the FDA ultimately did not find any association between use of GLP-1 receptor agonists and the occurrence of suicidal thoughts or actions, it did recommend that physicians prescribing GLP-1 receptor agonists should monitor their patients for and advise patients using GLP-1 receptor agonists to report new or worsening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8"/>
          <w:szCs w:val="18"/>
          <w:color w:val="auto"/>
        </w:rPr>
        <w:t>depression, suicidal thoughts, or any unusual changes in mood or behavior. Were an association between GLP-1 receptor agonists and suicidal thoughts or actions to be found in the future as additional data become available or other class-wide issues to arise, the FDA may impose additional requirements for product candidates seeking approval or impose labeling requirements the inclusion of which could adversely affect the market acceptance and commercial success of any of our current or future product candidates.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and may in the future, conduct certain of our clinical trials for our product candidates outside of the United States. However, the FDA and foreign regulatory authorities may not accept data from such trials, which could materially harm our business.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Hengrui are currently conducting, and we, Hengrui and any future collaborators may in the future conduct clinical trials for any of our current or future product candidates outside the United States. The acceptance of study data from clinical trials conducted outside the United States or another jurisdiction by the FDA or comparable foreign regulatory authority may be subject to certain conditions or may not be accepted at all. For example, in cases where data from foreign clinical trials are intended to serve as the sole basis for regulatory approval in the United States, the FDA will generally not approve the application on the basis of foreign data alone unless the data are applicable to the U.S. population and U.S. medical practice; the trials were performed by clinical investigators of recognized competence and pursuant to GCP regulations; and the data may be considered valid without the need for an on-site inspection by the FDA, or if the FDA considers such inspection to be necessary, the FDA is able to validate the data through an on-site inspection or other appropriate means.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even where the foreign study data are not intended to serve as the sole basis for approval, if the relevant study was not conducted pursuant to an IND, the FDA will not accept the data as support for a marketing application unless the study was 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For instance, for nonclinical studies submitted to the European Medicines Agency, or EMA, particularly those supporting marketing applications in Europe, China-based testing facilities must adhere to the Organisation for Economic Co-operation and Development, or OECD, Principles of GLP and be part of the OECD Mutual Acceptance of Data system for data to be accepted.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For example, the data generated by Hengrui on our product candidates in China may not be acceptable to the FDA or other regulatory authorities. In April 2026, the House Appropriations Committee issued a draft, non-binding report accompanying its proposed Fiscal Year 2027 Agriculture, Rural Development, Food and Drug Administration, and Related Agencies Appropriations Act that would bar FDA from accepting, reviewing, or considering any covered clinical data generated by a clinical investigation site in China, Russia, Iran or North Korea in support of an IND, including any amendment or supplement thereto. If the FDA or any comparable foreign regulatory authority does not accept such data from our clinical trials of any of our current or future product candidates, we would need to conduct additional trials, which could be costly and time-consuming, and which may not ultimately support approval in the applicable jurisdiction. Conducting clinical trials outside the United States also exposes us to additional risks, including risks associated with:</w:t>
      </w:r>
    </w:p>
    <w:p>
      <w:pPr>
        <w:spacing w:after="0" w:line="87"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regulatory requirements;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standards for reporting and evaluating clinical data and adverse events;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117"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concerns or political instability, civil unrest, war or similar events that may jeopardize our ability to commence, conduct or complete a clinical trial and evaluate resulting data.</w:t>
      </w:r>
    </w:p>
    <w:p>
      <w:pPr>
        <w:spacing w:after="0" w:line="2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any of our current or future product candidates in foreign markets. We are not permitted to market or promote any of our current or future product candidates before we receive regulatory approval from applicable regulatory authorities in foreign markets, and we may never receive such regulatory approvals for any of our current or future product candidates. To obtain separate regulatory approval in many other countries we must comply with numerous and varying regulatory requirements regarding safety and efficacy and governing, among other things, clinical trials, commercial sales, pricing and distribution of any of our current or future product candidates. Approval procedures may be more onerous than those in the United States and may require that we conduct additional nonclinical studies or clinical trials. If we obtain regulatory approval of 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spacing w:after="0" w:line="282" w:lineRule="auto"/>
        <w:rPr>
          <w:sz w:val="20"/>
          <w:szCs w:val="20"/>
          <w:color w:val="auto"/>
        </w:rPr>
      </w:pPr>
      <w:r>
        <w:rPr>
          <w:rFonts w:ascii="Times New Roman" w:cs="Times New Roman" w:eastAsia="Times New Roman" w:hAnsi="Times New Roman"/>
          <w:sz w:val="18"/>
          <w:szCs w:val="18"/>
          <w:color w:val="auto"/>
        </w:rPr>
        <w:t>of our current or future product candidates and ultimately commercialize our products in foreign markets, we would be subject to additional risks and uncertainties, including:</w:t>
      </w:r>
    </w:p>
    <w:p>
      <w:pPr>
        <w:spacing w:after="0" w:line="54"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in foreign countries;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third-party patent rights of potential relevance to our business;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export control and import laws and regulations and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public health pandemics or epidemics, or natural disasters including earthquakes, typhoons, floods and fires.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associated with having a collaboration partner located in China.</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our collaboration with Hengrui, located in China, our results of operations, financial condition, and prospects are subject to a significant degree to economic, political, and legal developments in China including government control over capital investments or changes in tax regulations that are applicable to us. China’s economy differs from the economies of most developed countries in many respects, including with respect to the amount of government involvement, level of development, growth rate and control of foreign exchange, and allocation of resources. Since we collaborate with an entity located in China, our business is subject to the risks associated with having a collaboration partner located in China, including:</w:t>
      </w:r>
    </w:p>
    <w:p>
      <w:pPr>
        <w:spacing w:after="0" w:line="75" w:lineRule="exact"/>
        <w:rPr>
          <w:sz w:val="20"/>
          <w:szCs w:val="20"/>
          <w:color w:val="auto"/>
        </w:rPr>
      </w:pPr>
    </w:p>
    <w:p>
      <w:pPr>
        <w:ind w:left="38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political and economic conditions, particularly those potentially negatively affecting the trade relationship between the United States and China;</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tariff increases, and import and export licensing and control requirements;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changes in tax laws;</w:t>
      </w:r>
    </w:p>
    <w:p>
      <w:pPr>
        <w:spacing w:after="0" w:line="117"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the Chinese legal system, including increased costs and uncertainties associated with enforcing contractual obligations in China;</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lower protection of intellectual property rights;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relating to China’s data security rules and regulations;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relating to China personal information protection laws;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volatility in currency exchange rates;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unfavorable changes in regulatory requirements;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foreign relationships and operations generally.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the possibility of product supply disruption and increased costs in the event of changes in the policies of the U.S. or Chinese governments, political unrest or unstable economic conditions in China. New legislation, regulations or court decisions may impede, delay, limit, or increase the cost of manufacturing our therapeutic candidates. Such events could result in our clinical or commercial supply of drug being interrupted or limited, which could harm our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trade policies, particularly with respect to China, may adversely impact our business and operating results.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 government has recently made statements and taken certain actions that may lead to potential changes to U.S. and international trade policies, including imposing several rounds of tariffs and export control restrictions affecting certain products manufactured in China, and most recently, proposing legislation that, if enacted would restrict trade with certain Chinese companies that provide biopharmaceutical research, development, and manufacturing services. Recently both China and the United States have each imposed tariffs indicating the potential for further trade barriers. In addition, in the past the U.S. Commerce Department has implemented export controls adding numerous Chinese entities to its “unverified list,” which requires U.S. exporters to go through more procedures before exporting goods to such entities. It is unknown whether and to what extent new tariffs, export controls, trade restrictions, or other new laws or regulations will be adopted, or the effect that any such actions would have on us or our industry. Sustained uncertainty about, or the further escalation of, trade and political tensions between the United States and China could result in a disadvantageous research and manufacturing environment in China, particularly for U.S. based companies, including retaliatory restrictions that hinder or potentially inhibit our ability to rely on manufacturing partners and other service providers that operate in China. For example, proposed legislation has been introduced in Congress that could prohibit, among other things, the use of U.S. government executive agency contract, grant, or loan funding to procure or obtain, or enter into, extend or renew contracts involving the use of certain equipment or services produced or provided by certain Chinese companies which could cause us to reevaluate our relationship with our certain of our existing manufacturing partners, including Hengrui.</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Hengrui, some of our other suppliers, vendors and service providers are located in China. Trade tensions and conflicts between the United States and China have been escalating in recent years and, as such, we are exposed to the possibility of supply disruptions and increased costs and expenses in the event of changes to the laws, rules, regulations and policies of the governments of the United States or China, or due to geopolitical unrest and unstable economic conditions. Certain Chinese biotechnology companies may become subject to trade restrictions, sanctions, other regulatory requirements or proposed legislation by the U.S. government, which could restrict or even prohibit our ability to work with such entities, thereby potentially disrupting their supply of material to us. Additionally, third parties may voluntarily require compliance or supply chain requirements that go above and beyond potential legislation to address perceived risk of “pass through,” which would make it difficult for us to operate our business.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the U.S. BIOSECURE Act, which was enacted in December 2025,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Congress has interpreted a “biotechnology company of concern” as an entity that is under the control of a foreign adversary and that poses a risk to national security based on its research or multiomic data collection (e.g., collection of genomic information). While the U.S. BIOSECURE Act has a grandfathering period of five years for existing contracts, and has carveouts for manufacture of drugs for supply under Medicaid and Medicare Part B, subject to the Secretary of Veteran Affairs’ discretion, the impact of the U.S. BIOSECURE Act on the biotechnology industry is uncertain.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possible that we or some of our contractual counterparties, including Hengrui, could be impacted by the legislation described above.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unfavorable government policies on international trade, such as export controls, capital controls or tariffs, may increase the cost of manufacturing our product candidates and materials, affect the demand for our drug products (if and once approved), the competitive position of our product candidates, and import or export of raw materials and finished product candidate used in our, Hengrui’s and our future collaborators’ nonclinical studies and clinical trials, particularly with respect to any product candidates and materials that we import from China, including pursuant to the Hengrui License Agreement. If any new tariffs, export controls, legislation and/or regulations are implemented, or if existing trade agreements are renegotiated or, in particular, if either the U.S. or Chinese government takes retaliatory trade actions due to the recent trade tension, such changes could have an adverse effect on our business, financial condition and results of operations.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or our collaborators obtain approval for any of our product candidates in one jurisdiction, we may never obtain approval for or commercialize such candidates in any other jurisdiction, which would limit our ability to realize their full market potential.</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market any products in any particular jurisdiction, we must establish and comply with numerous and varying regulatory requirements on a country-by-country basis regarding safety and efficacy. Approval by the FDA in the United States does not ensure approval by regulatory authorities in other countries or jurisdictions. However, the failure to obtain approval in one jurisdiction may negatively impact our ability to obtain approval elsewhere. For example, ribupatide injection (being developed as HRS9531 by Hengrui) is currently the subject of a pending NDA in China that has been submitted by Hengrui. If Hengrui fails to obtain approval for ribupatide injection in China, it could negatively impact our ability to obtain approval in the United States or any other jurisdiction. In addition, regulatory approval in one country does not guarantee regulatory approval in any other country.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8" w:name="page49"/>
    <w:bookmarkEnd w:id="48"/>
    <w:p>
      <w:pPr>
        <w:jc w:val="both"/>
        <w:spacing w:after="0" w:line="255" w:lineRule="auto"/>
        <w:rPr>
          <w:sz w:val="20"/>
          <w:szCs w:val="20"/>
          <w:color w:val="auto"/>
        </w:rPr>
      </w:pPr>
      <w:r>
        <w:rPr>
          <w:rFonts w:ascii="Times New Roman" w:cs="Times New Roman" w:eastAsia="Times New Roman" w:hAnsi="Times New Roman"/>
          <w:sz w:val="18"/>
          <w:szCs w:val="18"/>
          <w:color w:val="auto"/>
        </w:rPr>
        <w:t>Approval processes vary among countries and can involve additional product testing and validation, as well as additional administrative review periods. Seeking foreign regulatory approval could result in difficulties and increased costs for us and require additional nonclinical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product candidates are ultimately regulated as biologics rather than as drugs, we would be required to pursue approval under a different statutory framework than our current plans contemplate, which could delay development, increase costs, alter market exclusivity and competition dynamics, and adversely affect our business.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developing our product candidates with the expectation of seeking FDA approval through NDAs. There is, however, ongoing litigation challenging whether certain similar products should be regulated as drugs or biologics. The outcome of this litigation could affect how products with attributes comparable to our product candidates are classified. If that litigation, or related FDA actions, result in a determination that product candidates like ours must be regulated as biologics, we could be required to pursue approval via biologics license applications, or BLAs, under the Public Health Service Act.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change in classification would subject our programs to a different and potentially more burdensome regulatory framework. Among other things, the biologics pathway can entail distinct and complex chemistry, manufacturing, and controls requirements, including expectations around process validation, comparability, and lot-to-lot consistency; expanded facility inspections; differences in quality system requirements; product-specific potency assays; and, potentially, additional nonclinical or clinical data to support a demonstration of safety, purity, and potency. Reclassification could necessitate redesign of our manufacturing processes (for example, to align with biologics quality standards), redevelopment or revalidation of analytical methods, new or supplemental bridging studies, and changes to our clinical development plans. It could also require us to engage different specialized contract manufacturers or to build or qualify new internal capabilities. Any of these changes could materially delay our timelines and substantially increase our costs.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Market entry and competition dynamics would also differ. If approved as biologics, our product candidates’ period of reference product exclusivity, biosimilar and interchangeable product competition, and related patent litigation procedures would be governed by the Biologics Price Competition and Innovation Act rather than the generic drug framework under the Drug Price Competition and Patent Term Restoration Act of 1984. While biologics may be eligible for a different statutory regulatory exclusivity period than drugs, the biosimilar and interchangeability standards, naming conventions, and substitution rules are distinct from those applicable to generic drugs approved under abbreviated new drug applications. These differences could change the timing, nature, and intensity of post-approval competition, and affect our pricing and market access strategies.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designed our development, regulatory, and manufacturing strategies based on our current understanding that our product candidates will be regulated as drugs subject to the NDA pathway. If FDA were to require that we instead pursue BLAs, we may experience substantial delays to our development programs; incur significant, unplanned costs; need to repeat or augment nonclinical or clinical studies; requalify or replace manufacturing sites and suppliers; and modify our commercial plans. We may also face uncertainty while the scope and implications of any reclassification are implemented by FDA, including how existing guidance, review practices, and user fee commitments apply. Any of these outcomes could adversely affect our ability to obtain timely approval, our competitive position, our potential market opportunity, and our business, financial condition,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time may be required to obtain marketing authorizations for any product candidates that we develop as drug-device combination products.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our current injectable product candidates will be regulated as combination products, as our therapeutic candidates will be administered by the patient using a disposable injector device (pre-filled syringe, autoinjector and/or multi-use pen) marketed together with the therapeutic candidate, if approved. Development of a product candidate as a combination product candidate requires close coordination within the FDA and within comparable regulatory agencies for review of each of the drug and device components that comprise the product and would typically be reviewed by different centers within the FDA if offered for use as standalone products. For example, the FDA’s review of a marketing application for a drug-device combination that has a primary mode of action as a drug would likely be subject to a NDA with the Center for Drug Evaluation and Research as the lead center, with coordination with the Center for Devices and Radiological Health for the review of the device component. Although the FDA and comparable foreign agencies have or may have systems in place for the review and approval of such combination products, we may experience additional delays in the development and commercialization of such product candidates due to regulatory timing constraints and uncertainties in the product development and approval process. Furthermore, regulatory bodies like the FDA may require a human factors study, also sometimes referred to as a usability study, to evaluate how people interact with drug-device combination products in real-world settings to ensure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18"/>
          <w:szCs w:val="18"/>
          <w:color w:val="auto"/>
        </w:rPr>
        <w:t>they can be used safely and effectively, and the requirement to conduct a human factors study may delay or prevent approval of a drug-device combination product. Moreover, although we anticipate that the device component of any combination product candidates we develop will be reviewed within the usual time frames expected for the marketing authorization application for underlying therapeutic candidate, and that no separate marketing application for the device components of such product candidates will be required in the United States, the FDA or comparable regulatory authorities may delay approval or require us to conduct additional studies with the device, which may delay the approval of the combination product.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EU regulates medical devices and medicinal products separately, through different legislative instruments, and the applicable requirements will vary depending on the type of drug-device combination product. For instance, drug-delivery products intended to administer a medicinal product where the medicinal product and the device form a single integral product are regulated as medicinal products in the EU. In such a case, the marketing authorization application must include—where available—the results of the assessment of the conformity of the device part with the EU Medical Devices Regulation contained in the manufacturer’s EU declaration of conformity of the device or the relevant certificate issued by a notified body. If the marketing authorization application does not include the results of the conformity assessment and where for the conformity assessment of the device, if used separately, the involvement of a notified body is required, the EMA or the EU member state competent authority must require the applicant to provide a notified body opinion on the conformity of the device. By contrast, in case of drug-delivery products intended to administer a medicinal product where the device and the medicinal product do not form a single integral product (but are e.g. co-packaged), the medicinal product is regulated in accordance with the rules for medicinal products described above while the device part is regulated as a medical device and will have to comply with all the requirements set forth by the Medical Devices Regulation.</w:t>
      </w:r>
    </w:p>
    <w:p>
      <w:pPr>
        <w:spacing w:after="0" w:line="29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product candidate, we will be subject to ongoing regulatory obligations and continued regulatory review, which may result in significant additional expense, and we may be subject to penalties if we fail to comply with regulatory requirements.</w:t>
      </w:r>
    </w:p>
    <w:p>
      <w:pPr>
        <w:spacing w:after="0" w:line="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any regulatory approvals that we may receive for our product candidates, the manufacturing processes, labeling, packaging, distribution, adverse event reporting, storage, advertising, promotion, sampling, import, export and recordkeeping for our product candidates will be subject to extensive and ongoing regulatory requirements. These requirements include submissions of safety and other post-marketing information and reports, registration, including both federal and state requirements in the United States and requirements of comparable foreign regulatory authorities, as well as ongoing compliance with cGMPs and GCPs for any clinical trials. The holder of an NDA also must submit supplemental applications and obtain prior approval for certain changes to the approved product, product labeling, or manufacturing process.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Manufacturers of drug products and their facilities are subject to continual review and periodic, unannounced inspections by the FDA and other regulatory authorities for compliance with cGMPs and other applicable regulations and standards. Accordingly, we will need to continue to expend time, money, and effort in all areas of regulatory compliance, including manufacturing, production, and quality control.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any regulatory approvals we may receive will require the submission of periodic reports to regulatory authorities and ongoing surveillance to monitor the safety and efficacy of the product. Such approvals may also contain significant limitations related to use restrictions for specified age groups, warnings, precautions or contraindications, and may include burdensome post-approval study or risk management requirements. For example, the FDA may require a REMS as a condition of approval of our product candidates, which could include requirements for a medication guide, physician training and communication plans or additional elements to ensure safe use, such as restricted distribution methods, patient registries and other risk minimization tools.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This may also result in revisions to the approved labeling to add new safety information, imposition of post-marketing studies or clinical trials to assess new safety risks, or imposition of distribution restrictions or other restrictions under a REMS program. In addition, failure to comply with FDA and other comparable foreign regulatory requirements may subject our company to administrative or judicially imposed sanctions, including:</w:t>
      </w:r>
    </w:p>
    <w:p>
      <w:pPr>
        <w:spacing w:after="0" w:line="79"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 or 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disgorgement of profits or revenues, warning letters, untitled letters or holds on clinical trials;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submitted, or suspension or revocation of approvals;</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limitations of use or requirements for additional warnings, contraindications, or other safety information, including boxed warnings;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or detentions, or refusal to permit the import or export of our products;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marketing authorization of any product candidates we develop. The U.S. Supreme Court’s July 2024 decision to overturn prior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and other regulatory agencies strictly regulate marketing, labeling, advertising, and the promotional claims that may be made about prescription products, such as any of our current or future product candidates, if approved. In particular, a product may not be promoted for uses that are not approved by the FDA or other regulatory agencies as reflected in the product’s approved labeling. If we receive regulatory approval for any of our current or future product candidates,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some patients in varied circumstances. The FDA does not regulate the behavior of physicians in their choice of treatments. Companies may share truthful and not misleading information that is otherwise consistent with a product’s FDA-approved labeling, but the FDA does, however, restrict a manufacturer’s communications about off-label use of their products. Similar requirements apply in foreign jurisdictions.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any of our current or future product candidates, if approved, we could become subject to significant liability, which would materially adversely affect our business and financial condition.</w:t>
      </w:r>
    </w:p>
    <w:p>
      <w:pPr>
        <w:spacing w:after="0" w:line="2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funding shortages or staffing limitations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have a negative impact on our business.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ability of the FDA or foreign regulatory authorities to review and approve new products can be affected by a variety of factors, including government budget and funding levels, ability to hire and retain key personnel and accept the payment of user fees, and statutory, regulatory, and policy changes.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Disruptions at the FDA and other agencies may also prolong the time necessary for new drugs or biologics to be reviewed and/or approved by necessary government agencies, which would adversely affect our business. For example, in recent years and in the past year, the U.S. government has shut down several times and certain regulatory agencies, such as the FDA and the SEC, have had to furlough critical FDA, SEC, and other government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 If a prolonged government shutdown were to occur, or if funding shortages or staffing limitations hinder or prevent the FDA or other regulatory authorities from conducting their regular inspections,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jc w:val="both"/>
        <w:spacing w:after="0" w:line="282" w:lineRule="auto"/>
        <w:rPr>
          <w:sz w:val="20"/>
          <w:szCs w:val="20"/>
          <w:color w:val="auto"/>
        </w:rPr>
      </w:pPr>
      <w:r>
        <w:rPr>
          <w:rFonts w:ascii="Times New Roman" w:cs="Times New Roman" w:eastAsia="Times New Roman" w:hAnsi="Times New Roman"/>
          <w:sz w:val="18"/>
          <w:szCs w:val="18"/>
          <w:color w:val="auto"/>
        </w:rPr>
        <w:t>reviews, or other regulatory activities, it could significantly affect the ability of the FDA to review and process our regulatory submissions in a timely manner, which could have a material adverse effect on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license agreement with, and the comprehensiveness of the intellectual property licensed from, Hengrui. Termination of the Hengrui License Agreement, and issues related to intellectual property we license from Hengrui, would have a material adverse effect on our business.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depend on the patents, know-how and other intellectual property licensed from Hengrui through the Hengrui License Agreement for the development and, if approved, commercialization of our product candidates. If the Hengrui License Agreement is terminated, or found to be unenforceable, it could result in the loss of significant rights and could harm our ability to commercialize our product candidates.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Hengrui License Agreement imposes certain obligations on us, including obligations to use commercially reasonable efforts to develop and commercialize licensed products in our territory, obligations to achieve certain regulatory milestone obligations within specified timelines, and obligations to pay Hengrui milestone payments, royalties and other fees. If we are unable to meet our obligations, our rights under the License Agreement may be reduced or terminated.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rights to our product candidates are subject to the Hengrui License Agreement, which may be terminated in certain circumstances, including in the event of an uncured material breach by us (such as an uncured payment default) or Hengrui. Without rights to the patents and know-how licensed under the Hengrui License Agreement, we may be unable to continue to develop, manufacture or commercialize our product candidates.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our ability to realize the full potential of the Hengrui License Agreement may be severely limited by factors involving intellectual property rights, including:</w:t>
      </w:r>
    </w:p>
    <w:p>
      <w:pPr>
        <w:spacing w:after="0" w:line="54" w:lineRule="exact"/>
        <w:rPr>
          <w:sz w:val="20"/>
          <w:szCs w:val="20"/>
          <w:color w:val="auto"/>
        </w:rPr>
      </w:pPr>
    </w:p>
    <w:p>
      <w:pPr>
        <w:ind w:left="380" w:hanging="372"/>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to what extent our technology and processes may infringe on intellectual property rights of third parties that are not subject to the Hengrui License Agreement;</w:t>
      </w:r>
    </w:p>
    <w:p>
      <w:pPr>
        <w:spacing w:after="0" w:line="53"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third parties are entitled to compensation or equitable relief, such as an injunction, for our use of the third parties’ intellectual property without their authorization;</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intellectual property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our obligations with respect to the use of the licensed technology in relation to our development and commercialization of product candidates; and</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specific intellectual property arising under the Hengrui License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issues, if they arise, could reduce or eliminate our rights to the relevant intellectual property or technology, increase what we believe to be our financial or other obligations under the relevant agreement, or increase our costs to develop, manufacture and commercialize products under the Hengrui License Agreement.</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Hengrui having accurately generated, collected, interpreted and reported data from certain nonclinical studies and clinical trials that were previously conducted for our product candidates.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licensed the rights to substantially all of our current product candidates from Hengrui, for which they undertook prior research and development, including nonclinical studies and clinical trials, primarily in China. We had no involvement with or control over the nonclinical and clinical development of any of our product candidates prior to our entry into the Hengrui License Agreement. In addition, we had no involvement in the development of third-party agents used as comparators or background therapies in such studies. Therefore, we are dependent on these third parties having conducted their research and development in accordance with the applicable protocols, legal and regulatory requirements, and scientific standards; having accurately reported the results of all nonclinical studies and clinical trials conducted with respect to such product candidates and having correctly collected and interpreted the data from these studies and trials. These risks also apply to any additional product candidates that we may acquire or license in the future. To date, we have not completed a comprehensive audit of the data that was generated by Hengrui with respect to our current product candidates. If we were to discover that data previously generated by Hengrui or another third-party was materially inaccurate or that their research and development activities were carried out in a noncompliant manner, we would be unable to rely on such data for our own clinical development, regulatory approval or commercialization purposes, adversely impacting the development of the implicated product candidate(s).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nonclinical studies. If these third parties do not successfully carry out their contractual duties, comply with applicable regulatory requirements, or meet expected deadlines, any of our current or future product candidates and our ability to seek or obtain regulatory approval for or commercialize any of our current or future product candidates may be delayed.</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dependent on third parties to conduct our clinical trials and nonclinical studies. Specifically, we rely on, and intend to continue to rely on, medical institutions, clinical investigators, CROs and consultants to conduct our nonclinical studies and clinical trials in accordance with our clinical protocols and applicable regulatory requirements. These CROs, investigators and other third parties play a significant role in the conduct and timing of these trials and subsequent collection and analysis of data. In particular, we have licensed our pipeline from Hengrui, which has conducted and is conducting multiple nonclinical studies and clinical trials of our product candidates in China. We intend to leverage the clinical capabilities and data generated by Hengrui to inform and support our global development programs. While we have and will have agreements governing the activities of our third-party contractors, including Hengrui, we have limited influence over their actual performance, and we have no control over the data generated by Hengrui on our product candidates. Nevertheless, we are responsible for ensuring that each of our clinical trials is conducted in accordance with the applicable protocol and legal, regulatory and scientific standards and requirements, and our reliance on our CROs and other third parties does not relieve us of our regulatory responsibilities. In addition, we and our CROs are required to comply with GLP requirements, as applicable, for certain nonclinical studies, as well as GCP requirements, which are regulations and guidelines enforced by the FDA and comparable foreign regulatory authorities for any of our current and future clinical trials of product candidates. Regulatory authorities enforce these requirements through periodic inspections of laboratories conducting GLP studies, trial sponsors, principal investigators and trial sites. If we, our investigators, or any of our CROs or trial sites fail to comply with applicable GLP or GCP or other requirements, the clinical data generated in our nonclinical studies or clinical trials may be deemed unreliable, the statistical analysis and robustness of our datasets could be compromised, and the FDA or comparable foreign regulatory authorities may require us to perform additional nonclinical studies or clinical trials before approving our marketing applications, if ever. Further, our clinical trials must be conducted with investigational products produced in accordance with cGMP regulations. Failure to comply with these regulations may require us to repeat clinical trials, which would delay the development and regulatory approval process.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these CROs and investigators are not our employees, and we will not be able to control, other than by contract, the amount of resources, including time, which they devote to our product candidates and clinical trials. There is no guarantee that any of our CROs, investigators or other third parties will devote adequate time and resources to such trials or studies or perform as contractually required. If any of these third parties fail to meet expected deadlines, adhere to our clinical protocols or meet regulatory requirements, or otherwise perform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in a timely manner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results of operations and prospects.</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the use of third parties, including Hengrui, to manufacture our product candidates, which may increase the risk that we will not have sufficient quantities of our product candidates or products or such quantities at an acceptable time and cost, which could delay, prevent or impair our development or commercialization efforts.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clinical or commercial supplies of our product candidates. We have limited personnel with experience in drug manufacturing and lack the resources and the capabilities to manufacture any of our product candidates on a clinical or commercial scale. We currently rely on third parties, including Hengrui, for supply of the active pharmaceutical ingredients, or API, drug substance or drug product, in our product candidates. Hengrui supplies us with drug substance and drug product for our clinical trials, but if the Hengrui License Agreement is terminated, then our supply from Hengrui will also be terminated. Our strategy is to outsource all manufacturing of our product candidates and products to third parties.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supply arrangements with Hengrui and with other third-party manufacturers for development, validation and manufacturing of our product candidates to support near-term clinical supply and, if approved, potential commercial supply of our future products. We are in the process of further establishing agreements with third party manufacturers for the long-term clinical and commercial supply of our product candidates. We may be unable to conclude agreements for commercial supply with third-party manufacturers, or may be unable to do so on acceptable terms. While we are engaged in a number of efforts to reduce the cost of goods sold of our product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3" w:name="page54"/>
    <w:bookmarkEnd w:id="53"/>
    <w:p>
      <w:pPr>
        <w:jc w:val="both"/>
        <w:spacing w:after="0" w:line="254" w:lineRule="auto"/>
        <w:rPr>
          <w:sz w:val="20"/>
          <w:szCs w:val="20"/>
          <w:color w:val="auto"/>
        </w:rPr>
      </w:pPr>
      <w:r>
        <w:rPr>
          <w:rFonts w:ascii="Times New Roman" w:cs="Times New Roman" w:eastAsia="Times New Roman" w:hAnsi="Times New Roman"/>
          <w:sz w:val="18"/>
          <w:szCs w:val="18"/>
          <w:color w:val="auto"/>
        </w:rPr>
        <w:t>candidates, particularly for ribupatide oral, such efforts may not be successful, which could limit the commercial profitability of such product candidates, if approved. Our efforts to improve the bioavailability of ribupatide oral or reduce the cost of manufacturing ribupatide drug substance may not be successful. We may not be able to enter into commercial manufacturing agreements with third-party manufacturers for drug substance, drug product or fill-finish services on commercially acceptable terms or at all, or may not be able to secure sufficient commercial manufacturing capacity from such third-party manufacturers on a timely enough basis. The third-party manufacturers may not successfully carry out their contractual duties or obligations, the occurrence of which could substantially increase our costs and limit our supply of such product candidates. The demand for third-party manufacturer’s services is very high, and such manufacturers could be subject to market transactions including mergers, acquisitions and other market consolidation transactions that limit their ability to provide products and services to us thereby increasing the time and cost it could take us to manufacture our product candidates.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if we are able to establish and maintain arrangements with third-party manufacturers, reliance on third-party manufacturers, including Hengrui, entails additional risks, including:</w:t>
      </w:r>
    </w:p>
    <w:p>
      <w:pPr>
        <w:spacing w:after="0" w:line="54"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diversion of manufacturing capacity to other customers by the third party;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Third-party manufacturers, including Hengrui, may not be able to comply with current good manufacturing practice, or cGMP, regulations or similar regulatory requirements outside the United States. Our failure, or the failure of our third-party manufacturers, including Hengrui, to comply with applicable regulations could result in sanctions being imposed on us, including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For example, in 2024, Hengrui received a Warning Letter from the FDA that was unrelated to the production of our product candidates. It is possible that Hengrui or other third-party manufacturers may in the future receive similar allegations of noncompliance or regulatory enforcement that may implicate the production of our product candidates, which could significantly and adversely affect supplies of our product candidates.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order to conduct late-stage clinical trials of our product candidates, we will need to have them manufactured in large quantities. Our third-party manufacturers, including Hengrui, may be unable to successfully increase the manufacturing capacity for any of our product candidates in a timely or cost-effective manner, or at all.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if our third-party manufacturers, including Hengrui, are unable to successfully scale up the manufacture of our product candidates in sufficient quality and quantity, the development, testing and clinical trials of those product candidates may be delayed or infeasible, and regulatory approval or commercial launch of such product candidates may be delayed or not obtained, which could significantly harm our business.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rely on our licensors and third party manufacturers, including Hengrui, to transfer manufacturing know how, analytical methods, reference standards and any process improvements relating to our product candidates. If we do not receive, retain or are otherwise unable to use such know how, we may incur additional transition costs, need to repeat development or validation activities and experience delays in manufacturing and delivery. Drug substance or drug product supplied by third parties may not comply with regulatory quality requirements or have sufficient stability for commercialization, which could require additional investment, revalidation or process changes and delay our development, approval and commercialization plans. Manufacturing may also depend on raw materials, single source reagents or specialized equipment that may be difficult to secure. Because some supply originates outside the United States, any delay in obtaining or maintaining required import or export licenses or clearances could delay our timelines. Termination, expiration or breach of our supply, manufacturing or technology transfer arrangements could have a material adverse effect on our business.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third parties, including Hengrui, that we engage to manufacture product for our nonclinical studies and clinical trials should cease to continue to do so for any reason, including due to outbreaks, geopolitical disruptions, natural disaster, epidemic or pandemic, trade wars, political unrest, economic conditions, changes in legislation or other events beyond their control, we likely would experience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jc w:val="both"/>
        <w:spacing w:after="0" w:line="258" w:lineRule="auto"/>
        <w:rPr>
          <w:sz w:val="20"/>
          <w:szCs w:val="20"/>
          <w:color w:val="auto"/>
        </w:rPr>
      </w:pPr>
      <w:r>
        <w:rPr>
          <w:rFonts w:ascii="Times New Roman" w:cs="Times New Roman" w:eastAsia="Times New Roman" w:hAnsi="Times New Roman"/>
          <w:sz w:val="18"/>
          <w:szCs w:val="18"/>
          <w:color w:val="auto"/>
        </w:rPr>
        <w:t>delays in advancing these clinical trials while we identify and qualify replacement suppliers, and we may be unable to obtain replacement supplies on terms that are favorable to us. For example, the passage of the People’s Republic of China’s Biosecurity law, which became effective on April 15, 2021, and subsequent legislation that China or the United States may adopt in the future, or other events in China could disrupt our ability to continue to rely upon manufacturers located in China, including Hengrui. In addition, if we are not able to obtain adequate supplies of our product candidates or the drug substances used to manufacture them, it will be more difficult for us to develop our product candidates and compete effectively.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Large pharmaceutical companies with greater resources, either through acquisitions, market consolidation or otherwise, may be able to obtain privileged access to manufacturing capacity and supply of material needed for the manufacture of our product candidates or other similar competing drugs. If our competitors are able to use their resources to secure preferential access to the supply capacity of third party manufacturers, or if third party manufacturers elect to terminate their contracts with us in favor of exclusive contracts with other larger pharmaceutical companies, our ability to obtain supply of our product candidates or any other future product candidates may be impacted resulting in significant delays and higher costs for development and commercialization of our product candidates. We may not be able to complete our clinical trials or market our product candidates at scale without stable partnerships with third party manufacturers who produce our product candidates or other drug compounds necessary for our product candidates. Shifting manufacturing relationship to another third-party manufacturer takes significant time and resources, and could delay development and commercialization of our product candidates.</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advancement of our product candidates and development programs and the potential commercialization of our current and future product candidates will require substantial additional cash to fund expenses. For some of our programs, we may decide to collaborate with other pharmaceutical and biotechnology companies with respect to development and potential commercialization. Likely collaborators may include large and mid-size pharmaceutical companies, regional and national pharmaceutical companies and biotechnology companies. In addition, if we are able to obtain regulatory approval for product candidates from foreign regulatory authorities, we may enter into collaborations with international biotechnology or pharmaceutical companies for the commercialization of such product candidates.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collaboration and whether such a collaboration could be more attractive than the one with us for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Further, there have been a significant number of recent business combinations among large pharmaceutical companies that have resulted in a reduced number of potential future collaborators. Any collaboration agreements that we enter into in the future may contain restrictions on our ability to enter into potential collaborations or to otherwise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if we enter into such collaborations, we will have limited control over the amount and timing of resources that our collaborators will dedicate to the development or commercialization of our product candidates. Our ability to generate revenues from these arrangements will depend on any future collaborators’ abilities to successfully perform the functions assigned to them in these arrangements. Any future collaborators may have the right to abandon research or development projects and terminate applicable agreements, including funding obligations, prior to or upon the expiration of the agreed upon terms.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collaborators, principal investigators, CROs, consultants and vendors, may engage in misconduct or other improper activities, including noncompliance with regulatory standards and requirements.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collaborators,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comparable foreign regulatory requirements, including those laws that require the reporting of true, complete and accurate information to such authorities; (ii) manufacturing standards, including cGMP requirements,</w:t>
      </w:r>
    </w:p>
    <w:p>
      <w:pPr>
        <w:spacing w:after="0" w:line="3" w:lineRule="exact"/>
        <w:rPr>
          <w:sz w:val="20"/>
          <w:szCs w:val="20"/>
          <w:color w:val="auto"/>
        </w:rPr>
      </w:pPr>
    </w:p>
    <w:p>
      <w:pPr>
        <w:jc w:val="both"/>
        <w:ind w:firstLine="8"/>
        <w:spacing w:after="0" w:line="251" w:lineRule="auto"/>
        <w:tabs>
          <w:tab w:leader="none" w:pos="33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data privacy, security, fraud and abuse and other healthcare laws and regulations in the United States and abroad; (iv) laws that require the true, complete and accurate reporting of financial information or data; or (v) laws that prohibit insider trading. Activities subject to these laws also involve the improper use or misrepresentation of information obtained in the course of clinical trials, the creation of fraudulent data in our or our collaborators’ nonclinical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business, financial condition, results of operations and prospects.</w:t>
      </w:r>
    </w:p>
    <w:p>
      <w:pPr>
        <w:spacing w:after="0" w:line="2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or other third party will discover them or that our trade secrets will be misappropriated or disclosed.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we currently rely on third parties to manufacture our product candidates and to perform quality testing, we must, at times, share our proprietary technology and confidential information, including trade secrets, with them. We seek to protect our trade secrets, in part, by entering into confidentiality agreements, and, if applicable, material transfer agreements, collaborative research agreements, service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or other third parties,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or other third party’s discovery of our confidential information or other unauthorized use or disclosure of such information would impair our competitive position and may have a material adverse effect on our business, financial condition, results of operations and prospects.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entities that have made substantial investments into developing novel treatments for patients with obesity, including large pharmaceutical companies with approved therapies in our current indications, and biopharmaceutical, specialty pharmaceutical and biotechnology companies developing novel treatments and technology platforms.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therapies for the treatment of obesity is highly competitive. Our product candidates, if approved, will face significant competition, including from well-established, currently marketed therapies that have been developed by large, well-known pharmaceutical companies, and our failure to demonstrate a meaningful improvement to the existing standard of care may prevent us from achieving significant market penetration. In particular, there is intense competition in the obesity field, especially with the advent of GLP-1 weight management medications, such as Wegovy, marketed by Novo Nordisk, and Zepbound, marketed by Eli Lilly. There are numerous other companies that have commercialized or are developing treatments for obesity that we will compete with, including Amgen, AstraZeneca, Boehringer Ingelheim, Merck, Pfizer, QL Biopharma, Roche, Structure Therapeutics, Viking Therapeutics and Zealand Pharma. We face competition from these companies and other major pharmaceutical and biotechnology companies, including specialty pharmaceutical companies, and academic institutions, governmental agencies and public and private research institutions, among others.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Many of these aforementioned products have been marketed for several years and are well established among physicians, patients, guidelines and third-party payers, creating potential adoption and pricing challenges for new entrants, such as requiring demonstration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6" w:name="page57"/>
    <w:bookmarkEnd w:id="56"/>
    <w:p>
      <w:pPr>
        <w:jc w:val="both"/>
        <w:spacing w:after="0" w:line="282" w:lineRule="auto"/>
        <w:rPr>
          <w:sz w:val="20"/>
          <w:szCs w:val="20"/>
          <w:color w:val="auto"/>
        </w:rPr>
      </w:pPr>
      <w:r>
        <w:rPr>
          <w:rFonts w:ascii="Times New Roman" w:cs="Times New Roman" w:eastAsia="Times New Roman" w:hAnsi="Times New Roman"/>
          <w:sz w:val="18"/>
          <w:szCs w:val="18"/>
          <w:color w:val="auto"/>
        </w:rPr>
        <w:t>of incremental value or benefits and/or reduction of healthcare system costs. These challenges will impact current and future products as they look to enter or expand the market.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anticipate that we will continue to face increasing competition as new therapies and combinations thereof, and related data, emerge. Competitors, independently or through collaboration, are developing products that potentially directly compete with our current or future product candidates and which may be a longer lasting or a more efficacious treatment, or receive FDA or other applicable regulatory approval more rapidly than any of our current or future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applicable regulatory approval for their products more rapidly than we may obtain approval for ours, which could result in our competitors establishing a strong market position before we are able to enter the market. Furthermore, established competitors have, and may in the future, pursue aggressive pricing strategies or enter into discounted distribution arrangements to defend or expand their market share, which could intensify pricing pressure and create additional barriers to commercial success for our product candidates.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collaboration partners, have significantly greater financial resources and expertise in research and development, manufacturing, nonclinical testing, conducting clinical trials, obtaining regulatory approvals and marketing approved products than we do. Moreover, many of these aforementioned competing products have been marketed for several years and are well established among physicians, patients and guidelines.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management and other personnel and establishing clinical trial sites and participants registration for clinical trials, as well as in acquiring technologies complementary to, or necessary for, our programs.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of our current or future product candidates will depend upon the degree of market acceptance of such product candidates by physicians, patients, healthcare payors and others in the medical community.</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any of our current or future product candidates receive regulatory approval, they may not gain market acceptance among physicians, patients, healthcare payors or others in the medical community. The commercial success of any of our current or future product candidates will depend significantly on the broad adoption and use of the resulting product by these individuals and organizations for approved indications. The degree of market acceptance of our products will depend on a number of factors, including:</w:t>
      </w:r>
    </w:p>
    <w:p>
      <w:pPr>
        <w:spacing w:after="0" w:line="72" w:lineRule="exact"/>
        <w:rPr>
          <w:sz w:val="20"/>
          <w:szCs w:val="20"/>
          <w:color w:val="auto"/>
        </w:rPr>
      </w:pPr>
    </w:p>
    <w:p>
      <w:pPr>
        <w:ind w:left="380" w:hanging="372"/>
        <w:spacing w:after="0" w:line="282"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clinical efficacy and safety, including as compared to any more-established products or other alternative products that may later be approved;</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any of our current or future product candidates are approved, if any;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our targeted patient population and other limitations or warnings contained in any FDA-approved labeling;</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 new drug for the relevant indication by healthcare providers and their patients;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cost-effectiveness of our products, as well as the cost of treatment with our products in relation to alternative treatments and therapies;</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concessions required by third-party payors to obtain coverage;</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all, or a portion of, out-of-pocket costs associated with our products in the absence of sufficient third-party coverage and adequate reimbursement;</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and the prevalence and severity of any adverse effects;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products as well as availability, safety and efficacy of competitive drugs;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or any current or future collaborators’ sales and marketing strategies;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 or favorable publicity about competitive products.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our current or future product candidates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any of our current or future product candidates, if approved, will depend in part on the extent to which governmental authorities and health insurers establish coverage, adequate reimbursement levels and favorable pricing policies.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any of our current or future product candidates, if approved. Our ability to achieve coverage and acceptable levels of reimbursement for our products by third-party payors will have an effect on our ability to successfully commercialize those products. Accordingly, we will need to successfully implement a coverage and reimbursement strategy for any approved product candidate. Even if we obtain coverage for a given product by a third-party payor, the resulting reimbursement payment rates may not be adequate or may require co-payments or other cost-sharing that patients find unacceptably high.</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participate in the Medicaid Drug Rebate Program or other governmental pricing programs, in certain circumstances, our products would be subject to ceiling prices, rebates, or other limitations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offer to reimburse patients only for a less expensive competitor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Statutory constraints, including those limiting use of drugs for weight loss, or agency interpretations of those statutes may limit coverage for certain drug products by governmental payors. If reimbursement is not available or is available only at limited levels, we may not be able to successfully commercialize our products and may not be able to obtain a satisfactory financial return on products that we may develop.</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or implement prior authorization or step therapy programs for new or innovative devices or drug therapies before they will reimburse patients who use such therapies, which may be time-consuming or costly for patients and lead to a reduction in revenue. It is difficult to predict at this time what third-party payors will decide with respect to the coverage and reimbursement for any of our current or future product candidates. Our success instead could depend on the ability and willingness of patients to pay out-of-pocket for our product candidates, if approved.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if we participate in the Medicaid Drug Rebate Program or other federal programs, we would be required to calculate and report certain price reporting metrics to the government, such as best price. Penalties may apply in some cases when such metrics are not submitted accurately and timely. Further, programs we participate in may require us to extend mandatory discounts or pay rebates.</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jc w:val="both"/>
        <w:spacing w:after="0" w:line="256" w:lineRule="auto"/>
        <w:rPr>
          <w:sz w:val="20"/>
          <w:szCs w:val="20"/>
          <w:color w:val="auto"/>
        </w:rPr>
      </w:pPr>
      <w:r>
        <w:rPr>
          <w:rFonts w:ascii="Times New Roman" w:cs="Times New Roman" w:eastAsia="Times New Roman" w:hAnsi="Times New Roman"/>
          <w:sz w:val="18"/>
          <w:szCs w:val="18"/>
          <w:color w:val="auto"/>
        </w:rPr>
        <w:t>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and, in some cases, at short notice, and we believe that changes in these rules and regulations are likely.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any of our current or future product candidates,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additional legislative and regulatory changes. The downward pressure on healthcare costs in general, and prescription drugs, surgical procedures and other treatments in particular, has become very intense. As a result, increasingly high barriers are being erected to the entry of new products. See “Risks Related to Our Business Operations and Industry—Current and future U.S. healthcare reform legislation or regulation may increase the difficulty and cost for us to obtain coverage for and commercialize any of our current or future product candidates and may adversely affect the prices we may set” below for additional related information.</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uncertainty may reduce patient demand for any of our current or future product candidates, if approved, which may adversely affect our business, financial condition and results of operations.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any of our current or future product candidates are approved for indications that are not covered by or reimbursable through governmental authorities and health insurers, patients will bear the entire cost of our products. The decision to undergo therapy using our products for non-covered indications is thus driven by patient demand, which may be influenced by a number of factors, such as:</w:t>
      </w:r>
    </w:p>
    <w:p>
      <w:pPr>
        <w:spacing w:after="0" w:line="68" w:lineRule="exact"/>
        <w:rPr>
          <w:sz w:val="20"/>
          <w:szCs w:val="20"/>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sales and marketing programs, including our consumer marketing initiatives;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physicians recommend our products, if approved, to their patients;</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sentiment about the benefits and risks of obesity drugs generally and our products, if approved, in particular, including satisfaction of patient expectations;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safety and effectiveness of our products, if approved, in comparison to other obesity drugs;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consumer confidence, which may be impacted by economic and political conditions.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Economic downturns in the United States and international markets would likely have an adverse effect on demand for our products, if approved. Our business, financial condition and results of operations will be adversely affected if we cannot generate significant patient demand for our products, if approved.</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receive regulatory approvals for any of our current or future product candidates, we may face substantial competition from compounding pharmacies.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Federal Food, Drug, and Cosmetic Act, or the FDCA, the FDA has oversight over the compounding of human drug products without an approved drug application. Compounding is a practice in which a licensed pharmacist, a licensed physician, or, in the case of an outsourcing facility, a person under the supervision of a licensed pharmacist, combines, mixes, or alters ingredients of a drug to create a medication tailored to the needs of an individual patient.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503A of the FDCA establishes conditions under which compounded human drug products are exempt from certain requirements of the FDCA, including prior approval of an NDA, compliance with cGMPs, and labeling requirements, provided that the drug is compounded on the basis of receipt of valid patient-specific prescriptions and meets other requirements. Section 503B of the FDCA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spacing w:after="0" w:line="261" w:lineRule="auto"/>
        <w:rPr>
          <w:sz w:val="20"/>
          <w:szCs w:val="20"/>
          <w:color w:val="auto"/>
        </w:rPr>
      </w:pPr>
      <w:r>
        <w:rPr>
          <w:rFonts w:ascii="Times New Roman" w:cs="Times New Roman" w:eastAsia="Times New Roman" w:hAnsi="Times New Roman"/>
          <w:sz w:val="18"/>
          <w:szCs w:val="18"/>
          <w:color w:val="auto"/>
        </w:rPr>
        <w:t>established conditions for a new category of compounders known as outsourcing facilities, which may compound a drug without marketing approval, but are subject to cGMP requirements and other obligations. Subject to these conditions, outsourcing facilities may distribute compounded drugs either pursuant to patient-specific prescriptions or in response to an order from a health care provider, such as a hospital, that is not for an identified individual patient (e.g., for office stock).</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503A of the FDCA restricts compounding drugs that are essentially copies of commercially available drugs, but certain amounts are permissible under the law as long as the compounding is not done “regularly or in inordinate amounts.” However, all other conditions of Section 503A must be met, including that the compounding is done on the basis of a valid prescription for an individual patient. When a drug is on the FDA’s drug shortage list, meaning that the demand or projected demand for the drug within the United States exceeds the supply of the drug, that drug is not considered to be “commercially available” such that the limitation on compounding “essentially copies” is lifted. The FDA intends to consider a compounded drug product to be essentially a copy of a commercially available drug if it has the same API, has the same, similar, or an easily substitutable dosage strength; and can be used by the same route of administration.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Outsourcing facilities registered under Section 503B are also restricted from making essentially a copy of an FDA-approved drug, but this limitation is lifted for identical or nearly identical copies of an FDA-approved drug if that drug is on the FDA’s drug shortage list. When a drug is on the FDA’s drug shortages list, an outsourcing facility regulated under Section 503B of the FDCA can use a bulk drug substance, also known as an API, to make that drug. The FDA considers a compounded drug to be essentially a copy of a commercially available drug under Section 503B if the compounded drug product and the FDA-approved drug have the same API, route of administration, dosage form, strength, and excipients.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number of GLP-1 products have previously been identified on the FDA shortage list, allowing for “essentially copies” of these drugs to be compounded by outsourcing facilities, and where applicable, 503A compounders, and sold to meet demand. For example, tirzepatide and semaglutide, the active ingredients in Zepbound and Wegovy, respectively, have previously been on the FDA’s drug shortage list, and compounding facilities have and continue to compound these drugs. These compounded formulations of GLP-1 products are generally less expensive than the branded, approved products, so could be a more attractive option for patients, particularly where not covered and reimbursed by third party payors.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FDA announced that the shortages of tirzepatide and semaglutide have been resolved, the FDA was recently challenged in a lawsuit brought by the compounding industry regarding this decision. The Court denied the plaintiffs’ preliminary injunction motions with respect to both the removal of tirzepatide and semaglutide. While the lawsuit is currently on appeal, the FDA has announced that it has ended enforcement discretion against compounders of both tirzepatide and semaglutide. However, the FDA’s removal of these products from the shortage list in March and April 2025 has not yet cleared the market of compounded versions of the products, which could present a competitive threat to us if we obtain approval for our product candidates. Moreover, even if we obtain approval and our products are not on the shortage list, we could nevertheless face competition from compounded, less expensive versions of our product candidates akin to the availability of compounded tirzepatide and semaglutide.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immediate availability of compounded versions of GLP-1 products may impact our pricing strategy and market penetration, and undermine our ability to establish a strong market position. Furthermore, any adverse events or quality issues associated with compounded versions of these products could negatively impact the perception of our product. These competitive pressures could materially and adversely affect our business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some countries, particularly the EU member states,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EU member states, can further reduce prices. In some countries, we may be required to conduct a clinical trial or other studies that compare the cost-effectiveness of our product candidate to other available therapies in order to obtain or maintain reimbursement or pricing approval. Publication of discounts by third-party payors or authorities may lead to further pressure on prices or reimbursement levels within the country of publication and other countries. If reimbursement of our products is unavailable or limited in scope or amount, or if pricing is set at unsatisfactory levels, our business could be adversely affected.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our sales, marketing and distribution capability on our own or through collaborations with marketing partners, we will not be successful in commercializing our product candidates.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have no marketing, sales or distribution capabilities. We intend to establish a sales and marketing organization, either on our own or in collaboration with third parties, with technical expertise and supporting distribution capabilities to commercialize one or more of our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our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on our own include:</w:t>
      </w:r>
    </w:p>
    <w:p>
      <w:pPr>
        <w:spacing w:after="0" w:line="117" w:lineRule="exact"/>
        <w:rPr>
          <w:sz w:val="20"/>
          <w:szCs w:val="20"/>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persuade adequate numbers of physicians to prescribe any future products;</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our existing and future product candidates, we may choose to collaborate with third parties that have direct sales forces and established distribution systems to serve as an alternative to our own sales force and distribution systems. Our future product revenue may be lower than if we directly marketed or sold our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do not establish sales and marketing capabilities successfully, either on our own or in collaboration with third parties, we will not be successful in commercializing our product candidates.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of our current or future product candidates are smaller than we believe they are, our revenue may be adversely affected, and our business may suffer.</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precise incidence and prevalence for all the conditions we aim to address with our product candidates are unknown. Our projections of both the number of people who have these conditions and their associated diseases, as well as the subset of people with these diseases who have the potential to benefit from treatment with our product candidates, are based on our beliefs and estimates. These estimates have been derived from a variety of sources, including sales of our competitors, our own market insights, internal market intelligence and internally generated data and assumptions, scientific literature, surveys of clinics, patient foundations or market research. Market opportunity estimates, whether obtained or derived from third-party sources or developed internally, are subject to significant uncertainty and are based on assumptions and estimates that may not prove to be accurate. Further, new clinical trials may change the estimated incidence or prevalence of these diseases. The total addressable market across all of our product candidates will ultimately depend upon, among other things, the diagnosis criteria included in the final label for each of our product candidates approved for sale for these indications, the ability of our product candidates to improve on the safety, convenience, cost and efficacy of competing therapies or therapies in development, acceptance by the medical community and patients,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 Further, even if we obtain significant market share for our product candidates, because some of our potential target populations are very small, we may never achieve profitability despite obtaining such significant market share.</w:t>
      </w:r>
    </w:p>
    <w:p>
      <w:pPr>
        <w:spacing w:after="0" w:line="3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opinion and scrutiny of treatments for obesity may impact public perception of our company and product candidates, or may adversely affect our ability to conduct our business and our business plans.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Public perception may be influenced by claims, such as claims that our product candidates are unsafe, unethical or immoral and, consequently, our approach may not gain the acceptance of the public or the medical community. Negative public reaction to treatments for obesity in general could result in greater government regulation and stricter labeling requirements of products to treat these chronic conditions, including our product candidates, if approved, and could cause a decrease in the demand for any product candidates we may develop. For example, there is widespread awareness of gastrointestinal side effects and lean muscle mass loss associated with obesity management medications, and severe adverse events observed with GLP-1-based therapies include, but are not limited to, acute pancreatitis, acute gallbladder disease, acute kidney injury and worsening of diabetic retinopathy. Such side effects associated with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1" w:name="page62"/>
    <w:bookmarkEnd w:id="61"/>
    <w:p>
      <w:pPr>
        <w:jc w:val="both"/>
        <w:spacing w:after="0" w:line="254" w:lineRule="auto"/>
        <w:rPr>
          <w:sz w:val="20"/>
          <w:szCs w:val="20"/>
          <w:color w:val="auto"/>
        </w:rPr>
      </w:pPr>
      <w:r>
        <w:rPr>
          <w:rFonts w:ascii="Times New Roman" w:cs="Times New Roman" w:eastAsia="Times New Roman" w:hAnsi="Times New Roman"/>
          <w:sz w:val="18"/>
          <w:szCs w:val="18"/>
          <w:color w:val="auto"/>
        </w:rPr>
        <w:t>GLP-1-based therapies may negatively impact public perception of us or our incretin-based product candidates. Adverse public attitudes may also adversely impact our ability to enroll clinical trials. Moreover, our success will depend upon physicians specializing in the treatment of those diseases that our product candidates target prescribing, and their patients being willing to receive, treatments that involve the use of our product candidates in lieu of, or in addition to, existing treatments they are already familiar with and for which greater clinical data may be available. Adverse events in our clinical trials, even if not ultimately attributable to our product candidates, and the resulting publicity could result in withdrawal of clinical trial participants,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More restrictive government regulations or negative public opinion could have an adverse effect on our business, financial condition, results of operations and prospects, and may delay or impair the development and, if approved, commercialization of our product candidates or demand for any products we may develop.</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Industry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significantly or fall below the expectations of investors or securities analysts, each of which may cause our stock price to fluctuate or decline.</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due to a variety of factors, many of which are outside of our control and may be difficult to predict, including the following:</w:t>
      </w:r>
    </w:p>
    <w:p>
      <w:pPr>
        <w:spacing w:after="0" w:line="54" w:lineRule="exact"/>
        <w:rPr>
          <w:sz w:val="20"/>
          <w:szCs w:val="20"/>
          <w:color w:val="auto"/>
        </w:rPr>
      </w:pPr>
    </w:p>
    <w:p>
      <w:pPr>
        <w:ind w:left="38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product candidates or competing product candidates, or any other change in the competitive landscape of our industry;</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recruit and retain subjects for clinical trials, and any delays caused by difficulties in such efforts;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our product candidates and the timing and scope of any such approvals we may receive;</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which may change from time to time;</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which may vary depending on the quantity of production and the terms of its agreements with manufacturers;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 candidates should they receive approval, which may vary significantly;</w:t>
      </w:r>
    </w:p>
    <w:p>
      <w:pPr>
        <w:spacing w:after="0" w:line="117"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and global economic environments;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milestone and royalty payments under the Hengrui License Agreement;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its accounting policies.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operating results or revenue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is dependent on our ability to attract and retain highly qualified management and other clinical and medical personnel.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recruit, retain, manage and motivate highly qualified management, clinical, and scientific personnel, and we face significant competition for experienced personnel. We are highly dependent upon our executive team, as well as our other employees. The loss of services of any of these individuals could delay or prevent the successful development of our product pipeline, initiation or completion of our clinical trials and nonclinical studies, regulatory approvals or the commercialization of any of our current or future product candidates. Although we have executed employment agreements with each of the members of our executive team, these agreements are terminable at will with or without notice and, therefore, we may not be able to retain their services as expected. We do not currently maintain “key person” life insurance on the lives of our executives or any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our employees. This lack of insurance means that we may not have adequate compensation for the loss of the services of these individuals.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employment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clinical, and scientific personnel in the future due to the intense competition for qualified personnel among biopharmaceutical, biotechnology and other businesses.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9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initially focused on the development of ribupatide injection for obesity, and we have three other product candidates that are at various stages of clinical development. We must seek to maintain a process of prioritization and resource allocation to maintain an optimal balance between aggressively pursuing ribupatide injection, and ensuring the development of additional potential product candidates in our pipeline.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Due to the significant resources required for the development of our product candidates, we are focusing on obesity-first and must decide which product candidates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products and may divert resources away from better opportunities. If we make incorrect determinations regarding the viability or market potential of any of our product candidates or misread trends in the pharmaceutical industry, in particular for obesity treatments,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indications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2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marketing personnel, third-party payors, patient organizations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regulatory approval. Such laws include:</w:t>
      </w:r>
    </w:p>
    <w:p>
      <w:pPr>
        <w:spacing w:after="0" w:line="72" w:lineRule="exact"/>
        <w:rPr>
          <w:sz w:val="20"/>
          <w:szCs w:val="20"/>
          <w:color w:val="auto"/>
        </w:rPr>
      </w:pPr>
    </w:p>
    <w:p>
      <w:pPr>
        <w:jc w:val="both"/>
        <w:ind w:left="380" w:hanging="372"/>
        <w:spacing w:after="0" w:line="254"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monetary penalties (discussed below);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jc w:val="both"/>
        <w:ind w:left="380" w:hanging="372"/>
        <w:spacing w:after="0" w:line="254"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83"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jc w:val="both"/>
        <w:ind w:left="380" w:hanging="372"/>
        <w:spacing w:after="0" w:line="256"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or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other healthcare providers, as well as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auto"/>
        </w:rPr>
      </w:pPr>
    </w:p>
    <w:p>
      <w:pPr>
        <w:jc w:val="both"/>
        <w:ind w:left="380" w:hanging="372"/>
        <w:spacing w:after="0" w:line="255"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some state laws require biopharmaceutical companies to comply with the biopharmaceutical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biopharmaceutical companies to report information on the pricing of certain drug products; and some state and local laws that require the registration or pharmaceutical sales representatives.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both internally and with third parties will comply with applicable healthcare laws and regulations will involve ongoing substantial costs. It is possible that governmental authorities will conclude that our business practices, including certain consulting agreements we have entered into with physicians who are paid, in part, in the form of stock or stock options, may not comply with current or future statutes, regulations or case law involving applicable fraud and abuse or other healthcare laws and regulations.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w:t>
      </w:r>
    </w:p>
    <w:p>
      <w:pPr>
        <w:spacing w:after="0" w:line="3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U.S. healthcare reform legislation or regulation may increase the difficulty and cost for us to obtain coverage for and commercialize any of our current or future product candidates and may adversely affect the prices we may set.</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of our current or future product candidates for which we obtain regulatory approval. In particular, there have been and continue to be a number of initiatives at the U.S. federal and state levels that seek to reduce healthcare costs and improve the quality of healthcare.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in 2010, the Affordable Care Act, or the ACA, was enacted in the United States. Among other provisions, the ACA established an annual, nondeductible fee on any entity that manufactures or imports specified branded prescription drugs and biologic agents; extended manufacturers’ Medicaid rebate liability to covered drugs dispensed to individuals who are enrolled in Medicaid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jc w:val="both"/>
        <w:spacing w:after="0" w:line="261" w:lineRule="auto"/>
        <w:rPr>
          <w:sz w:val="20"/>
          <w:szCs w:val="20"/>
          <w:color w:val="auto"/>
        </w:rPr>
      </w:pPr>
      <w:r>
        <w:rPr>
          <w:rFonts w:ascii="Times New Roman" w:cs="Times New Roman" w:eastAsia="Times New Roman" w:hAnsi="Times New Roman"/>
          <w:sz w:val="18"/>
          <w:szCs w:val="18"/>
          <w:color w:val="auto"/>
        </w:rPr>
        <w:t>managed care organizations; expanded the entities eligible for discounts under the 340B drug pricing program; increased the statutory minimum rebates a manufacturer must pay under the Medicaid Drug Rebate Program; established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beginning April 1, 2013, Medicare payments to providers were reduced under the sequestration required by the Budget Control Act of 2011, which will remain in effect through the 2032 fiscal year, unless additional Congressional action is taken. Additionally, on January 2, 2013, the American Taxpayer Relief Act of 2012 was signed into law, which, among other things, further reduced Medicare payments to several types of providers. On March 11, 2021, the American Rescue Plan Act of 2021 was signed into law, which eliminated the statutory cap on drug manufacturers’ Medicaid drug rebate liability, beginning January 1, 2024. The rebate was previously capped at 100% of a drug’s average manufacturer price. 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assistance programs, and reform government program reimbursement methodologies for products.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Most significantly, the Inflation Reduction Act, or the IRA, was enacted in 2022. Among other things, the IRA requires manufacturers of certain drugs to engage in price negotiations with Medicare, with prices that can be negotiated subject to a cap (with resulting prices for the initial ten drugs first effective in 2026), imposes rebates under Medicare Part B and Medicare Part D to penalize price increases that outpace inflation (first due in 2023), redesigns the Medicare Part D benefit (beginning in 2025), and replaces the Part D coverage gap discount program with a new discounting program (which began on January 1, 2025). Under the IRA, small molecule drugs and biologics that otherwise qualify for selection first become eligible for price negotiation seven and eleven years, respectively, after U.S. FDA approval. The IRA permits the Secretary of Health and Human Services, or HHS, to implement many of these provisions through guidance, as opposed to regulation, for the initial years. CMS published the negotiated prices for the initial ten drugs, which went into effect in January 2026, and for the subsequent 15 drugs, which will first be effective in 2027, as well as the next 15 drugs that will be subject to price negotiation. Each year thereafter, more Part B and Part D products will become subject to the HHS price negotiation program. HHS has issued and will continue to issue guidance implementing the IRA, although the program is currently subject to legal challenges. While the impact of the IRA on us and the pharmaceutical industry cannot yet be fully determined, it is likely to be significant. Additional drug pricing proposals could appear in future legislation.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Trump administration is also pursuing a two-fold strategy to reduce drug costs in the U.S. While it is unclear whether and how the Trump proposals will be implemented, the Trump policies are likely to have a negative impact on the pharmaceutical industry and on our ability to receive adequate revenues for our product candidates, if approved.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although final regulations have not yet been published.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state level, state governments have increasingly passed legislation and implemented regulations designed to control pharmaceutical and biological product pricing, including price or reimbursement constraints, discounts, restrictions on certain product access, marketing cost disclosure, drug price reporting and other transparency measures, and, in some cases, designed to encourage importation from other countries and bulk purchasing. Some states have enacted legislation creating so-called prescription drug affordability boards with the goal of imposing price limits on certain drugs in these states, and at least one state board is imposing an upper payment limit. States are also seeking to implement general, across the board price caps for pharmaceuticals, or are seeking to regulate drug distribution. Legally mandated price controls on payment amounts by third-party payors or other restrictions could harm our business, financial condition, results of operations and prospects. In addition, regional healthcare authorities and individual hospitals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jc w:val="both"/>
        <w:spacing w:after="0" w:line="266" w:lineRule="auto"/>
        <w:rPr>
          <w:sz w:val="20"/>
          <w:szCs w:val="20"/>
          <w:color w:val="auto"/>
        </w:rPr>
      </w:pPr>
      <w:r>
        <w:rPr>
          <w:rFonts w:ascii="Times New Roman" w:cs="Times New Roman" w:eastAsia="Times New Roman" w:hAnsi="Times New Roman"/>
          <w:sz w:val="18"/>
          <w:szCs w:val="18"/>
          <w:color w:val="auto"/>
        </w:rPr>
        <w:t>are increasingly using bidding procedures to determine what pharmaceutical products and which suppliers will be included in their prescription drug and other healthcare programs. These measures could reduce the ultimate demand for any of our current and future product candidates, if approved, or put pressure on our product pricing, which could negatively affect our business, financial condition, results of operations and prospects.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these existing laws and other healthcare reform measures both at the federal and state level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w:t>
      </w:r>
    </w:p>
    <w:p>
      <w:pPr>
        <w:spacing w:after="0" w:line="75" w:lineRule="exact"/>
        <w:rPr>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current or future product candidates, if we obtain regulatory approval;</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Similar political, economic and regulatory developments are occurring in the EU and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or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or any of our future collaborators could divert our resources and attention, cause us to incur substantial liabilities and limit commercialization of our product candidates.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use of our product candidates by us and any collaborators in clinical trials, and the sale of these product candidates, if approved, in the future, may expose us to liability claims. We face an inherent risk of product liability lawsuits related to the use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jc w:val="both"/>
        <w:spacing w:after="0" w:line="258" w:lineRule="auto"/>
        <w:rPr>
          <w:sz w:val="20"/>
          <w:szCs w:val="20"/>
          <w:color w:val="auto"/>
        </w:rPr>
      </w:pPr>
      <w:r>
        <w:rPr>
          <w:rFonts w:ascii="Times New Roman" w:cs="Times New Roman" w:eastAsia="Times New Roman" w:hAnsi="Times New Roman"/>
          <w:sz w:val="18"/>
          <w:szCs w:val="18"/>
          <w:color w:val="auto"/>
        </w:rPr>
        <w:t>our product candidates in patients and will face an even greater risk if product candidates are approved by regulatory authorities and introduced commercially. Product liability claims may be brought against us by participants enrolled in our clinical trials, patients, health care providers, pharmaceutical companies, our collaborators or others using, administering or selling any of our future approved products. If we cannot successfully defend ourselves against any such claims, we may incur substantial liabilities or be required to limit commercialization of our product candidates. Regardless of the merits or eventual outcome, liability claims may result in:</w:t>
      </w:r>
    </w:p>
    <w:p>
      <w:pPr>
        <w:spacing w:after="0" w:line="75" w:lineRule="exact"/>
        <w:rPr>
          <w:sz w:val="20"/>
          <w:szCs w:val="20"/>
          <w:color w:val="auto"/>
        </w:rPr>
      </w:pPr>
    </w:p>
    <w:p>
      <w:pPr>
        <w:ind w:left="380" w:hanging="372"/>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of our future approved products;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costs;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or costly settlements with, patients or other claimants;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a change in the indications for which they may be used;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patients’ use or misuse of our products or any similar products distributed by other companies.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maintain product liability insurance coverage consistent with industry norms, including clinical trial liability, this insurance may not fully cover potential liabilities that we may incur. The cost of any product liability litigation or other proceeding, even if resolved in its favor, could be substantial. We will need to increase our insurance coverage if we commercialize any product that receives regulatory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from only some business risks, which will leave us exposed to significant uninsured liabilities.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property, general liability, employee benefits liability, commercial automobile, workers’ compensation, transportation and storage, cyber liability, clinical trials, directors’ and officers’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business, financial condition, results of operations and prospects.</w:t>
      </w:r>
    </w:p>
    <w:p>
      <w:pPr>
        <w:spacing w:after="0" w:line="2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service providers may be subject to a variety of ever-evolving state, federal, and foreign data protection, privacy and security obligations, including laws, regulations, and contractual provisions, which could increase compliance costs, and our actual or perceived failure to comply with such laws and obligations could subject us to potentially significant liability, fines or penalties and otherwise harm our business.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our service providers receive, maintain, use and otherwise process sensitive information, including confidential business, employee and health-related information, and are subject to laws and regulations governing the privacy and security of such information. The global data protection landscape is rapidly evolving, and we and our service providers may be affected by or subject to existing, amended, or new laws and regulations in the future, including due to expanding operations or if we operate in foreign jurisdictions. These laws and regulations may be subject to differing interpretations, thus creating potentially complex compliance issues for us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jc w:val="both"/>
        <w:spacing w:after="0" w:line="258" w:lineRule="auto"/>
        <w:rPr>
          <w:sz w:val="20"/>
          <w:szCs w:val="20"/>
          <w:color w:val="auto"/>
        </w:rPr>
      </w:pPr>
      <w:r>
        <w:rPr>
          <w:rFonts w:ascii="Times New Roman" w:cs="Times New Roman" w:eastAsia="Times New Roman" w:hAnsi="Times New Roman"/>
          <w:sz w:val="18"/>
          <w:szCs w:val="18"/>
          <w:color w:val="auto"/>
        </w:rPr>
        <w:t>our service providers, strategic partners and future customers.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financial condition, results of operations and prospects.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United States, numerous federal and state laws and regulations, including health information privacy laws, data breach notification laws and consumer protection laws, that govern the collection, use, storage, transfer, disclosure, protection and other processing of health-related and other personal information could apply to our operations or the operations of our collaborators and third-party service providers. In addition, we may obtain health information from third parties (including research institutions from which we obtain clinical trial data and CROs) that are subject to privacy and security requirements under HIPAA. Consequently, depending on the facts and circumstances, we could be subject to significant penalties if we knowingly receive individually identifiable health information from a HIPAA-covered healthcare provider, research institution, or CRO that has not satisfied HIPAA’s requirements for disclosure of individually identifiable health information. In addition, certain state laws govern the privacy and security of health-related and other personal information, many of which may differ from each other and from HIPAA, thus complicating compliance efforts. Failure to comply with these laws, where applicable, can result in the imposition of significant civil and/or criminal penalties and private litigation. By way of example, the California Consumer Privacy Act, as amended by the California Privacy Rights Act, or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passed in other states, and are continuing to be proposed at the state and federal level, reflecting a trend toward more stringent privacy legislation in the United States. In addition to these comprehensive consumer privacy laws and proposals, a number of other states have passed or proposed more limited privacy laws that focus on specific privacy issues such as biometric data and the privacy of health and medical information, such as Washington state’s My Health My Data Act, which has a private right of action that further increases the relevant compliance risk. Connecticut and Nevada have also passed similar laws regulating consumer health data. These various privacy and security laws may impact our business activities, including our identification of research subjects, relationships with business partners and ultimately the marketing and distribution of our products. State laws are changing rapidly and there is discussion in the U.S. Congress of a new comprehensive federal data privacy law to which we may likely become subject, if enacted. In the event that we are subject to or affected by HIPAA, the CCPA or other domestic privacy and data protection laws, any liability from failure to comply with the requirements of these laws could adversely affect our financial condition.</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2024, the National Security Division of the U.S. Department of Justice, or the DOJ, issued a new rule—referred to as the “Data Security Program,” or DSP, 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 Compliance with the DSP may require us to invest heavily in data security and compliance measures, such as implementing and 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in the future be subject to the European Union General Data Protection Regulation and the United Kingdom General Data Protection Regulation, or, together, the GDPR. The GDPR, together with national legislation, regulations and guidelines of the European Economic Area, or EEA, member states and the UK governing the processing of personal data, impose comprehensive data privacy compliance obligations in relation to our collection, processing, sharing, disclosure, transfer and other use of data relating to an identifiable living individual or “personal data”, including a principle of accountability and the obligation to demonstrate compliance through policies, procedures, training and audit, as well as regulating cross-border transfers of personal data out of the EEA and the UK. Companies that are subject to the GDPR face compliance obligations and risk, including regulatory enforcement and potential fines for noncompliance of up to £17.5 million (€20 million) or 4% of the annual global revenues of the noncompliant company, whichever is greater.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8" w:name="page69"/>
    <w:bookmarkEnd w:id="68"/>
    <w:p>
      <w:pPr>
        <w:jc w:val="both"/>
        <w:spacing w:after="0" w:line="253" w:lineRule="auto"/>
        <w:rPr>
          <w:sz w:val="20"/>
          <w:szCs w:val="20"/>
          <w:color w:val="auto"/>
        </w:rPr>
      </w:pPr>
      <w:r>
        <w:rPr>
          <w:rFonts w:ascii="Times New Roman" w:cs="Times New Roman" w:eastAsia="Times New Roman" w:hAnsi="Times New Roman"/>
          <w:sz w:val="18"/>
          <w:szCs w:val="18"/>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or the CJEU, states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We expect the existing legal complexity and uncertainty regarding international personal data transfers to continue, and international transfers to the United States, China,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we may have to stop using certain tools and vendors and make other operational changes; we may have to implement alternative data transfer mechanisms under the GDPR and/ or take additional compliance and operational measures; and/or it could otherwise affect the manner in which we operate our business, and could adversely affect our business, operations and financial condition.</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be subject to data privacy and similar laws in China. China’s Personal Information Protection Law, or the PIPL, imposes various requirements on the collection, use processing, sharing and transfer of personal information. The PIPL also sets out data localization requirements for critical information infrastructure operators and personal information processors who process personal information above a certain threshold prescribed by the relevant authorities, unless a security assessment is passed. The PIPL also requires data processors to rely on a data export mechanism and comply with certain requirements prior to the transfer of personal information outside of China, such as compliance with a security assessment, or the Security Assessment, or certification by an agency designated by the relevant authorities, or Certification, or entering into standard form model contracts approved by the relevant authorities, or SCCs, with the overseas recipient, unless an exemption under the Provisions for Promoting and Regulating Cross-Border Data Flows , or the Provisions, applies, such as the transfer being necessary for the performance of a contract which the individual is a party to or necessary for cross-border HR management or the number of individuals’ whose personal information is transferred is less than 100,000 since January 1st of the current year. According to the Provisions published by the CAC on March 22, 2024, a data processor must apply for the Security Assessment organized by the CAC under any of the following circumstances and receive an approval from the relevant authorities before the information may be transferred outside of the PRC: (i) where a data processor or a critical information infrastructure operator, or CIIO, provides important data overseas, (ii) where a CIIO transfers personal information overseas (unless an exemption applies) or (iii) where a personal information processor either transfers more than 1 million individuals’ personal information or more than 10,000 individuals’ sensitive personal information overseas since January 1st of the current year, in each case unless an exemption applies. Additionally, a data processor must enter into the SCCs with the overseas recipient and file this with the local CAC within 10 working days of the contract’s effective date or obtain a Certification before transferring information overseas if the data processor either transfers more than 100,000 but less than 1 million individuals’ personal information or transfers less than 10,000 individuals’ sensitive personal information since January 1st of the current year, unless an exemption applies.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involves cross-border data transfers from or into China, such as the access of certain PRC patient-level information from overseas. We have signed the SCCs regarding certain cross-border data flows and this has been filed with the local CAC. We expect that we have complied with such filing requirements. However, it is possible for the competent PRC government authorities to take a contrary position or adopt different interpretations on the SCCs, in which case we may become subject to penalties or other liabilities under the applicable CAC regulations in relation to our handling of the cross-border transfers.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comply with PIPL can result in fines of up to RMB 50 million or 5% of the prior year’s total annual revenue for the personal information processor and/or a suspension of services or data processing activities. Other potential penalties include a fine of up to RMB 1 million on the person in charge or directly responsible personnel and, in serious cases, individuals and entities may be exposed to criminal liabilities under other local Chinese law, such as the Criminal Law of the People’s Republic of China, thus going beyond the penalties imposed under the GDPR. The PIPL also prohibits responsible personnel for violations of the PIPL from holding high level management or data protection officer positions in relevant enterprises.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also generally unclear how the laws will be interpreted and enforced in practice by the relevant government authorities as the PIPL and its implementing regulations and measures are drafted broadly, thus leaving great discretion to the relevant government authorities to exercise. As such, our compliance approach towards the PIPL may be subject to further change and we may need to expend significant time and resources in re-evaluating our internal compliance framework to comply with the PIPL.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store, use, transfer, disclose and otherwise process data, update our data privacy and security policies and procedures, or in some cases, impact our ability to operate in certain jurisdictions. Failure by us or our collaborators and our service providers to comply with U.S. and international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jc w:val="both"/>
        <w:spacing w:after="0" w:line="261" w:lineRule="auto"/>
        <w:rPr>
          <w:sz w:val="20"/>
          <w:szCs w:val="20"/>
          <w:color w:val="auto"/>
        </w:rPr>
      </w:pPr>
      <w:r>
        <w:rPr>
          <w:rFonts w:ascii="Times New Roman" w:cs="Times New Roman" w:eastAsia="Times New Roman" w:hAnsi="Times New Roman"/>
          <w:sz w:val="18"/>
          <w:szCs w:val="18"/>
          <w:color w:val="auto"/>
        </w:rPr>
        <w:t>well as the providers who share this information with us, may contractually limit our ability to use and disclose such information. Claims that we have violated individuals’ privacy rights, failed to comply with data protection laws, or breached our contractual obligations, even if we are not found liable, could be expensive and time-consuming to defend, could result in adverse publicity and adversely affect our business, financial condition, results of operations and prospects.</w:t>
      </w:r>
    </w:p>
    <w:p>
      <w:pPr>
        <w:spacing w:after="0" w:line="2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any of our third-party service providers, may fail or suffer security incidents, breaches, or compromises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and our third-party service providers collect, store and transmit confidential information (including but not limited to intellectual property, proprietary and confidential business information and personal information). We face numerous and evolving cybersecurity risks that threaten the confidentiality, integrity and availability of our systems and confidential information. Our information technology systems and those of our third-party service providers, strategic partners and other contractors or consultants are vulnerable to attack, damage and interruption from computer viruses and malware (e.g. ransomware), malicious code embedded in open-source software, misconfigurations, “bugs” or other vulnerabilities in commercial software that is integrated into our (or our third-party service providers’) systems, products or services, natural disasters, terrorism, war, telecommunication and electrical failures, hacking, cyberattacks,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 In addition,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(including artificial intelligence) used to obtain unauthorized access to, or to sabotage, systems change frequently and often are not recognized until launched against a target, we may be unable to anticipate these techniques or implement adequate preventative measures. Any integration of artificial intelligence in our or any third party’s operations, products or services is also expected to pose new or unknown cybersecurity risks and challenges. We may also experience security incidents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There can also be no assurance that our cybersecurity risk management program and processes, including our policies, controls or procedures, will be fully implemented, complied with or effective in protecting our IT Systems and Confidential Information.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incidents, and we expect such attacks and incidents to continue in varying degrees. While we do not believe that we have experienced any material system failure, accident or security breach to date, we cannot guarantee that material incidents will not occur in the future. For example, the loss of clinical trial data from clinical trials could result in delays in our regulatory approval efforts and significantly increase our costs to recover or reproduce the data. We also currently rely on a third party to manufacture our product candidates, and similar events relating to their computer systems could also have a material adverse effect on our business. To the extent that any actual or perceived disruption or security incident affects our systems (or those of our third-party service providers) or were to result in a loss of or accidental, unlawful or unauthorized access to, use of, release of, or other processing of personally identifiable information, or damage to, our confidential or proprietary data or applications, or inappropriate disclosure of confidential or proprietary information, it could result in legal claims or proceedings (such as class actions), regulatory investigations and enforcement actions, the further development and commercialization of any of our current or future product candidates could be delayed, negative reputational impacts that cause us to lose existing or future customers, significant incident response, system restoration or remediation and future compliance costs, and we could be subject to significant fines, penalties or liabilities for any noncompliance to certain privacy and security laws. Any or all of the foregoing could materially adversely affect our business, operating results, and financial condition.</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If the information technology systems of our third-party vendors and other contractors and consultants become subject to disruptions or security breaches, incidents, or compromises, we may have insufficient recourse against such third parties and we may have to expend significant resources to mitigate the impact of such an event, and to develop and implement protections to prevent future events of this nature from occurring. Some of the federal, state and foreign government requirements include obligations of companies to notify individuals of security breaches involving particular categories of personally identifiable information, which could result from incidents experienced by us or by our vendors, contractors, or organizations with which we have formed strategic relationships. Our contracts may not contain limitations of liability, and even where they do, there can be no assurance that limitations of liability in our contracts are sufficient to protect us from liabilities, damages, or claims related to our data privacy and security obligations. Although we currently hold cybersecurity insurance, the costs related to significant security breaches or disruptions could be material and cause us to incur significant expenses and we cannot guarantee that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jc w:val="both"/>
        <w:spacing w:after="0" w:line="282" w:lineRule="auto"/>
        <w:rPr>
          <w:sz w:val="20"/>
          <w:szCs w:val="20"/>
          <w:color w:val="auto"/>
        </w:rPr>
      </w:pPr>
      <w:r>
        <w:rPr>
          <w:rFonts w:ascii="Times New Roman" w:cs="Times New Roman" w:eastAsia="Times New Roman" w:hAnsi="Times New Roman"/>
          <w:sz w:val="18"/>
          <w:szCs w:val="18"/>
          <w:color w:val="auto"/>
        </w:rPr>
        <w:t>any costs and liabilities incurred in relation to an attack or incident will be covered by our existing insurance policies or that such insurance will continue to be available on acceptable terms or in amounts sufficient to cover the potentially significant losses that may result for a security incident or breach.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affected by litigation, government investigations and enforcement actions.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exclusion from participation in government-funded healthcare programs, such as Medicare and Medicaid, equitable remedies, including disgorgement, injunctive relief and/or other sanctions against us, and remediation of any such findings could have an adverse effect on our business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financial condition, results of operations and prospects. Even if such a proceeding, investigation or enforcement action is ultimately decided in our favor, the investigation and defense thereof could require substantial financial and management resources.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or our current or future licensors are unable to obtain, maintain, defend and enforce patent or other intellectual property protection for any of our current or future product candidates or technology, or if the scope of the patent or other intellectual property protection obtained is not sufficiently broad, our competitors or other third parties could develop and commercialize products similar or identical to ours, and our ability to successfully commercialize any of our current or future product candidates may be adversely affected.</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and may in the future rely, upon a combination of patent, trade secret and know-how for any of our current and future product candidates, and proprietary technologies to prevent third parties from exploiting our achievements, thus eroding our competitive position in our market. These legal measures afford only limited protection, and competitors or others may gain access to or use our intellectual property and proprietary information. Our success depends in large part on our ability to obtain, maintain, expand, enforce, and defend the scope, ownership or control, validity and enforceability of our intellectual property protection in the United States and other countries with respect to any of our current and future product candidates and other proprietary technologies we may develop. We generally seek, and may in the future seek, to protect our proprietary position, in part, by filing patent applications in the United States and abroad relating to any of our current and future product candidates and technology, manufacturing processes and methods of use. We may also seek to protect our proprietary position by acquiring or further in-licensing relevant issued patents or pending patent applications from third parties. We will endeavor to seek additional patent protection to cover proprietary features of our product candidates and novel discoveries that are important to our business. Many of our in-licensed patent families were initially drafted, filed, and prosecuted by our licensor, Hengrui, and even where we now control the right to prosecution of such in-licensed patent families, we are and may in the future be required to solicit input and consider comments from Hengrui. Our control of prosecution for such in-licensed patent families is also limited to our territory and Hengrui still controls prosecution outside our territory. Hengrui could potentially make arguments or amendments in their territory that affect the scope or value of our in-licensed patent families in our territory. Additionally, some of our patent families are in an early stage of prosecution and cannot be enforced against third parties practicing the technology claimed in such applications unless, and until, patents are issued from such applications, and then only to the extent the issued claims cover the third parties’ activities. If we are unable to obtain, maintain, expand, enforce and defend the scope, ownership or control, validity and enforceability of our intellectual property protection, our business, financial condition, results of operations and prospects could be materially harmed.</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jurisdictions may diminish our ability to protect our intellectual property, obtain, maintain, expand, enforce and defend our intellectual property rights and, more generally, could affect the value of our intellectual property or narrow the scope of our protection. We cannot predict whether the patent applications we currently or may in the future pursue or may in-license will issue as patents in any particular jurisdiction, whether the claims of any issued patents will provide sufficient protection against competitors or other third parties, or if these patents are challenged by our competitors, whether the patents will be found to be invalid, unenforceable, or not infringed or not owned or controlled by us. The patent prosecution process is expensive, time-consuming, and complex, and we may not be able to file, prosecute, maintain, enforce, defend or license all necessary or desirable patent applications or patents at a reasonable cost or in a timely manner or in all jurisdictions. It is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jc w:val="both"/>
        <w:spacing w:after="0" w:line="253" w:lineRule="auto"/>
        <w:rPr>
          <w:sz w:val="20"/>
          <w:szCs w:val="20"/>
          <w:color w:val="auto"/>
        </w:rPr>
      </w:pPr>
      <w:r>
        <w:rPr>
          <w:rFonts w:ascii="Times New Roman" w:cs="Times New Roman" w:eastAsia="Times New Roman" w:hAnsi="Times New Roman"/>
          <w:sz w:val="18"/>
          <w:szCs w:val="18"/>
          <w:color w:val="auto"/>
        </w:rPr>
        <w:t>also possible that we or our current or future licensors will fail, or previously failed, to identify patentable aspects of research and development output in time to obtain patent protection. Although we enter into non-disclosure and confidentiality agreements with parties who have access to confidential or patentable aspects of our research and development output, such as our employees, licensees, third-party collaborators, CROs, contract manufacturers, consultants, advisors and other third parties, any of these parties may breach the agreements and disclose such output before a patent application is filed, thereby jeopardizing our ability to seek patent protection. Consequently, we may not be able to prevent any third party from using any of our technology that is in the public domain to compete with any of our current or future product candidates or technologies. In addition, our ability to obtain and maintain valid and enforceable patents depends on whether the differences between our inventions and the prior art allow our inventions to be patentable in light of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invent the inventions claimed in any of our owned or licensed patents or pending patent applications, or that we or our licensors were the first to file for patent protection of such inventions. If a third party can establish that we or our licensors were not the first to invent or the first to file for patent protection of such inventions, our patents and patent applications may not issue as patents and even if issued, may be challenged and invalidated or rendered unenforceable.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been the subject of much litigation in recent years. In particular, the patent position of obesity treatments is particularly uncertain given a significant amount of competition centered around certain specific chemical scaffolds and mechanisms of action, including certain of those associated with our product candidates. As a result, the issuance, scope, validity, enforceability, and commercial value of our owned and in-licensed patent rights are highly uncertain. Our current and future patent applications may not result in patents being issued.</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Further, even if patents are granted, they may not afford sufficient protection of any of our current or future product candidates or their intended uses against competitors, nor can there be any assurance that the issued patents cannot be designed around, invalidated by third parties, or effectively prevent others from commercializing any of our current or future product candidates. Furthermore, even if granted, the resulting patents may be difficult to enforce. Obtaining and maintaining our owned and in-licensed patent protection depends on compliance with various procedural, document submission, information disclosure, fee payment and other requirements imposed by governmental patent agencies, and our patent protection could be reduced or eliminated if we fail to comply with these requirements. If we experience noncompliance events that cannot be corrected and we lose our patent rights, competitors could enter the market, which would have a material adverse effect on our business. Further, any issued patents that we own or license or may own or license in the future covering any of our current or future product candidates could be narrowed or found invalid or unenforceable if challenged in court or before administrative bodies in the United States or other countries, including the U.S. Patent and Trademark Office, or USPTO. Grounds for a validity challenge could be an alleged failure to meet any of several statutory requirements, including lack of novelty, obviousness, lack of written description or non-enablement. In addition, patent validity challenges may, under certain circumstances, be based upon non-statutory obviousness-type double patenting, which, if successful, could result in a finding that the claims are invalid for obviousness-type double patenting. In certain circumstances, the finding could be cured by filing a retroactive terminal disclaimer over unexpired reference patent(s), which would result in a reduction of patent term, including a reduction or loss of a patent term adjustment granted by the USPTO. Grounds for an unenforceability assertion could be an allegation that someone connected with prosecution of the patent withheld information material to patentability from the USPTO, or made a misleading statement, during prosecution. Also, patent terms, including any extensions or adjustments that may or may not be available to us, may not protect our competitive position on any of our current or future product candidates for an adequate amount of time, and we may be subject to claims challenging the inventorship, ownership, validity, enforceability of our owned or in-licensed patents and/or other intellectual property. Changes in U.S. patent law, or laws in other countries, could diminish the value of patents in general, thereby impairing our ability to protect any of our current or future product candidates. Further, if we encounter delays in our development and testing, clinical trials or regulatory review and approval of any of our current or future product candidates, the period of time during which we could market such product candidates under patent protection may be reduced (i.e., patents protecting such product candidates might expire before or shortly after such product candidates are commercialized). Thus, our owned and in-licensed patents may not provide us with sufficient rights to exclude others from commercializing products similar or identical to ours or afford us any meaningful competitive advantage.</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the claim coverage in a patent application can be significantly reduced before the corresponding patent is granted. Even if patent applications issue as patents, they may not issue in a form that will provide us with any meaningful protection, prevent competitors or other third parties from competing with us or otherwise provide us with any competitive advantage. Any patents issuing from our owned and in-licensed patent applications may be challenged, narrowed, circumvented or invalidated by third parties. Consequently, we do not know whether any of our current or future product candidates and other proprietary technology will be protectable or remain protected by valid and enforceable patents.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Furthermore, our competitors or other third parties may avail themselves of safe harbors under the Drug Price Competition and Patent Term Restoration Act of 1984, or the Hatch-Waxman Amendments, to conduct research and clinical trials.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jc w:val="both"/>
        <w:spacing w:after="0" w:line="254"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ownership, scope, validity, or enforceability, and our patent rights may be challenged in the courts or patent offices in the United States and abroad. We may be subject to post-grant proceedings at the USPTO challenging the validity of one or more claims of our owned and in-licensed patents. Third-party submissions may also be made prior to a patent’s issuance, precluding the granting of a patent based on our pending patent application. A third party may also claim that our owned and in-licensed patent rights are invalid or unenforceable in a litigation. The outcome following legal assertions of invalidity and unenforceability is unpredictable. In addition, we may become involved in opposition, derivation, revocation, reexamination, reissue, interference, inter partes review, post-grant review proceedings or other similar proceedings in the United States and/or foreign jurisdictions challenging our patent rights. An adverse determination in any such submission, proceeding or litigation could reduce the scope of, or invalidate or render unenforceable, our patent rights, and may allow third parties, including generic drug companies, to commercialize any of our current or future product candidates and use any other proprietary technologies we may develop to compete directly with us.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some of our owned and in-licensed patent rights may in the future be co-owned with third parties. In the United States, each co-owner has the freedom to license and exploit the technology. If we are unable to obtain an exclusive license to any such third-party co-owners’ interest in such patent rights, such co-owners may be able to license their rights to other third parties, including our competitors, and our competitors could market competing products and technology. In addition, we may need the cooperation of any such co-owners of such patent rights in order to enforce such patent rights against third parties, and such cooperation may not be provided to us. Any of the foregoing could have a material adverse effect on our competitive position, business, financial condition, results of operations and prospects.</w:t>
      </w:r>
    </w:p>
    <w:p>
      <w:pPr>
        <w:spacing w:after="0" w:line="29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licensors fail to comply with our obligations in the agreements under which we license intellectual property rights from third parties or otherwise experience disruptions to our business relationships with our current or future licensors, or if any of our material license agreements are terminated, we could lose our rights to key intellectual property and components enabling our technologies.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rights to our product candidates are subject to the licenses and other terms and conditions of the Hengrui License Agreement, and thus our commercial success will heavily depend on the maintenance of the Hengrui License Agreement. If, for any reason, the Hengrui License Agreement is terminated or we otherwise lose our rights under such agreement, it would adversely affect our business. The Hengrui License Agreement imposes, and future agreements may impose, various development, diligence, commercialization, milestone payment, royalty and other obligations on us, such as the requirement to meet development timelines or to exercise commercially reasonable efforts to develop and commercialize licensed products, in order to maintain the licenses. If we materially breach any of our obligations under the Hengrui License Agreement, Hengrui may terminate the Hengrui License Agreement, which would have a material adverse effect on us.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Hengrui License Agreement is complex, and certain provisions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Hengrui License Agreement, which could have a material adverse effect on our business, financial condition, results of operations, and prospects. For example, disputes may arise regarding the payment of the royalties or other payments due to Hengrui in connection with the rights we license from them. Hengrui may contest the basis of such payments, including the royalties we retained and claim that we are obligated to make payments under a broader basis. In addition, disputes may arise between us and our current or future licensors regarding intellectual property subject to a license agreement, including:</w:t>
      </w:r>
    </w:p>
    <w:p>
      <w:pPr>
        <w:spacing w:after="0" w:line="81" w:lineRule="exact"/>
        <w:rPr>
          <w:sz w:val="20"/>
          <w:szCs w:val="20"/>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 and</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current or future licensors and us and our partners.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disputes may be costly to resolve and may divert management’s attention away from day-to-day activities. In addition to the costs of any litigation we may face, any legal action against us could increase our payment obligations under the respective agreement and require us to pay interest and potentially damages to such licensors. If disputes over intellectual property that we have licensed, or license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jc w:val="both"/>
        <w:spacing w:after="0" w:line="266" w:lineRule="auto"/>
        <w:rPr>
          <w:sz w:val="20"/>
          <w:szCs w:val="20"/>
          <w:color w:val="auto"/>
        </w:rPr>
      </w:pPr>
      <w:r>
        <w:rPr>
          <w:rFonts w:ascii="Times New Roman" w:cs="Times New Roman" w:eastAsia="Times New Roman" w:hAnsi="Times New Roman"/>
          <w:sz w:val="18"/>
          <w:szCs w:val="18"/>
          <w:color w:val="auto"/>
        </w:rPr>
        <w:t>in the future, prevent or impair our ability to maintain our licensing arrangements on commercially acceptable terms, we may be unable to successfully develop and commercialize the affected product candidates, which could have a material adverse effect on our business, financial condition, results of operations, and prospects.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Despite our best efforts, our current or future licensors might conclude that we materially breached our license agreements and might therefore terminate the license agreements, thereby removing our ability to develop and commercialize products, if approved, and technology covered by the license agreements. Such termination would result in the ability of the prior licensor to assert the prior licensed patents against us, or the prior licensor could license the patents to a competitor who could assert the prior licensed patents against us. As a result, we may be required to cease our development, manufacture and commercialization of our product candidates and use of our proprietary technologies covered by the patent rights owned by the licensors, which could have a material adverse effect on us. Alternatively, the prior licensor could abandon the patent rights, which would reduce the barrier to entry into the market. If these in-licenses are terminated, or if the licensed patents fail to provide the intended exclusivity, and if competitors circumvent any regulatory exclusivity, competitors would have the freedom to market products identical to ours. These events could have a material adverse effect on our competitive position, business, financial condition, results of operations, and prospects.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Termination of the agreements or reduction or elimination of our rights under the agreements may result in our having to negotiate new or reinstated agreements with less favorable terms or cause us to lose our rights under these agreements, including our rights to important intellectual property or technology. For example, we may agree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 and we may be required to identify and license replacement technology from third parties, which may not be available on reasonable terms, if at all.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development of our proprietary technology and product candidates may require us to enter into additional license or collaboration agreements. Our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product candidates and proprietary technology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Filing, prosecuting, maintaining, enforcing and defending patents on any of our current or future product candidates in all countries throughout the world is expensive, and the laws of foreign countries may not protect our intellectual property rights to the same extent as the laws of the United States. Prosecution of foreign patent applications is often a longer process, and patents may grant at a later date, and with a shorter term, than in the United States. The requirements for patentability differ in certain jurisdictions and countries. Additionally, the patent laws of some countries do not afford intellectual property protection to the same extent as the laws of the United States. For example, other countries may impose substantial restrictions on the scope of claims, including limiting patent protection to specifically disclosed embodiments. Consequently, we may not be able to prevent third parties from practicing our inventions in all countries outside the United States, or from selling or importing products made using our intellectual property in and into the United States or other jurisdictions. Competitors may use our intellectual property in jurisdictions where we have not pursued and obtained patent protection to develop their own products and, further, may export infringing products to territories where we have patent protection, but enforcement is not as strong as that in the United States. These products may compete with our products, and our owned and in-licensed patents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owned and in-licensed patents or marketing of competing products in violation of our intellectual property and proprietary rights generally. In addition, some jurisdictions, such as Europe, Japan, and Korea, may have a heightened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United States and other jurisdictions.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Proceedings to enforce our owned and in-licensed intellectual property and proprietary rights in the United States or other jurisdictions could result in substantial costs and divert our efforts and attention from other aspects of our business, could put our patents and any patents we may own or license in the future at risk of being invalidated or interpreted narrowly, could put our owned and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owned and in-licensed intellectual property and proprietary rights around the world may be inadequate to obtain a significant commercial advantage from the intellectual property that we develop.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jc w:val="both"/>
        <w:spacing w:after="0" w:line="254"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or exclusive licensee may be compelled to grant licenses to third parties, including governmental agencies. In addition, many countries limit the enforceability of patents against government agencies or government contractors. In these countries, the patent owner or exclusive licensee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In addition, geo-political actions in the United States and in foreign countries (such as the Russia and Ukraine conflict) could increase the uncertainties and costs surrounding the prosecution or maintenance of our patent applications or those of any current or future licensors and the maintenance, enforcement or defense of our issued patents which could impair our competitive intellectual property position.</w:t>
      </w:r>
    </w:p>
    <w:p>
      <w:pPr>
        <w:spacing w:after="0" w:line="2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owned and in-licensed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USPTO and various non-U.S. government agencies require compliance with several procedural, documentary, fee payment and other similar provisions during the patent application process. In some circumstances, we may be dependent on our current or future licensors to take the necessary action to comply with these requirements with respect to any licensed intellectual property. For example, periodic maintenance fees, renewal fees, annuity fees, and various other government fees on patents and applications will be due to be paid to the USPTO and various government patent agencies outside of the United States over the lifetime of our owned and in-licensed patents and applications. In certain circumstances, we may rely on licensing partners to pay these fees due to the U.S. and non-U.S. patent agencies. In some cases, an inadvertent lapse can be cured by payment of a late fee or by other means in accordance with the applicable rules. There are situations, however, in which non-compliance can cause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USPTO and various non-U.S.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relevant markets with similar or identical products or technology, which could have a material adverse effect on our business, financial condition, results of operations and prospects. We may also be dependent on our current or future licensors to take the necessary actions to comply with these requirements with respect to intellectual property that we license.</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Public health pandemics (such as the COVID-19 pandemic), geopolitical instability (war and terrorism), natural disasters, or similar events may impair our and our current or future licensors’ ability to comply with these procedural, document submission, fee payment, and other requirements imposed by government patent agencies, which may materially and adversely affect our ability to obtain or maintain patent protection for any of our current and future product candidates.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laws or their interpretations could diminish the value of patents in general, thereby impairing our ability to protect our products.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or in other countries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or our current or future licensors could therefore be awarded a patent covering an invention of ours or our licensors even if we or our licensors had made the invention before it was made by such third party. This requires us to be cognizant of the time from invention to filing of a patent application. Since patent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jc w:val="both"/>
        <w:spacing w:after="0" w:line="266" w:lineRule="auto"/>
        <w:rPr>
          <w:sz w:val="20"/>
          <w:szCs w:val="20"/>
          <w:color w:val="auto"/>
        </w:rPr>
      </w:pPr>
      <w:r>
        <w:rPr>
          <w:rFonts w:ascii="Times New Roman" w:cs="Times New Roman" w:eastAsia="Times New Roman" w:hAnsi="Times New Roman"/>
          <w:sz w:val="18"/>
          <w:szCs w:val="18"/>
          <w:color w:val="auto"/>
        </w:rPr>
        <w:t>applications in the United States and most other countries are confidential for a period of time after filing or until issuance, we cannot be certain that we or our current or future licensors are the first to either (i) file any patent application related to any of our current or future product candidates and other proprietary technologies we may develop or (ii) invent any of the inventions claimed in our patents or patent applications.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America Invents Act also included a number of significant changes that affect the way patent applications are prosecuted and also affect patent litigation. These include allowing third party protests and submission of prior art to the USPTO during patent prosecution and additional procedures to attack the validity of a patent by USPTO-administered post-grant proceedings, including post-grant review, inter partes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any patent claims we may license in the future that would not have been invalidated if first challenged by the third party as a defendant in a district court action.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We cannot predict how decisions by the courts, the U.S. Congress or the USPTO may impact the value of our owned and in-licensed patent rights. For example, the U.S. Supreme Court held in Amgen v. Sanofi (2023) that a functionally claimed genus was invalid for failing to comply with the enablement requirement of the Patent Act. As such, our owned and in-licensed patent rights with functional claims may be vulnerable to third party challenges seeking to invalidate these claims for lacking enablement or adequate support in the specification.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In addition to heightened patentability requirements, the Supreme Court and Federal Circuit’s interpretation of biosimilar product approval under the BPCIA, has evolved in recent years, affecting the “patent dance” provisions of the statute, which are intended to resolve any patent infringement issues before the approval of a biosimilar.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or may obtain or license in the future.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2012, the European Union Patent Package, or EU Patent Package, regulations were passed with the goal of providing a single pan-European Unitary Patent and a new European Unified Patent Court, or UPC, for litigation involving European patents. The EU Patent Package was implemented on June 1, 2023.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Our European patents and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a pan-European injunction. Such a loss of patent protection could have a material adverse impact on our business and our ability to commercialize our technology and any of our current and future product candidates due to increased competition and, resultantly, on our business, financial condition, results of operations and prospects. The UPC and Unitary Patent are significant changes in European patent practice. As the UPC is a new court system, there is limited precedent for the court, increasing the uncertainty of any litigation in the UPC.</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any of our current or future product candidates could be found invalid or unenforceable if challenged in court or before administrative bodies in the United States or abroad.</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owned and licensed patent rights may be subject to priority, validity, inventorship, ownership and enforceability disputes. Legal proceedings relating to intellectual property claims, with or without merit, are unpredictable and generally expensive and time-consuming and likely to divert significant resources from our core business, including distracting our management and scientific personnel from their normal responsibilities and generally harm our business. If we or any of our current or future licensors are unsuccessful in any of these proceedings, such patents and patent applications may be narrowed, invalidated or held unenforceable. Any of the foregoing could have a material adverse effect on our business, financial condition, results of operations and prospects.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initiate legal proceedings against a third party to enforce a patent covering any of our current or future product candidates, the defendant could counterclaim that such patent is invalid or unenforceable. In patent litigation in the United States, defendant counterclaims alleging invalidity or unenforceability are commonplace. Grounds for a validity challenge could include an alleged failure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jc w:val="both"/>
        <w:spacing w:after="0" w:line="252" w:lineRule="auto"/>
        <w:rPr>
          <w:sz w:val="20"/>
          <w:szCs w:val="20"/>
          <w:color w:val="auto"/>
        </w:rPr>
      </w:pPr>
      <w:r>
        <w:rPr>
          <w:rFonts w:ascii="Times New Roman" w:cs="Times New Roman" w:eastAsia="Times New Roman" w:hAnsi="Times New Roman"/>
          <w:sz w:val="18"/>
          <w:szCs w:val="18"/>
          <w:color w:val="auto"/>
        </w:rPr>
        <w:t>to meet any of several statutory requirements, including lack of novelty, obviousness, non-enablement, lack of sufficient written description, failure to claim patent-eligible subject matter or obviousness-type double patenting. Grounds for an unenforceability assertion could be an allegation that someone connected with prosecution of the patent withheld relevant information from the USPTO, or made a misleading or inconsistent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shortening the term of or amendment to our owned or in-licensed patent rights or any patent rights we may obtain or license in the future in such a way that they no longer cover any of our current or future product candidates or prevent third parties from competing with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for any of our current or future product candidates. There is also a risk that, even if the validity of such patents is upheld, the court will construe the patent’s claims narrowly or decide that we do not have the right to stop the other party from using the invention at issue on the grounds that our owned and in-licensed patent claims do not cover the invention, or decide that the other party’s use of our patented technology falls under the safe harbor to patent infringement under 35 U.S.C. § 271(e). Such a loss of patent protection would have a material adverse impact on our business, financial condition, results of operations and prospects.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the competitive position of any of our current or future product candidates for an adequate amount of time.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any of our current or future product candidates are obtained, once the patent has expired, we may be vulnerable to competition from competitive products, including generics. Given the amount of time required for the development, testing and regulatory review of any of our current or future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 product candidates. If we do not have sufficient patent life to protect our products, our business, financial condition, results of operations and prospects will be adversely affected.</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Amendments and similar foreign legislation extending the terms of our licensed patents and any future patents we may own, our business, financial condition and results of operations may be materially and adversely affected.</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FDA regulatory approval for our drug candidates, one or more of our licensed U.S. patents or future U.S. patents that we may license or own may be eligible for limited patent term restoration under the Hatch-Waxman Amendments. The Hatch-Waxman Amendments permit a patent restoration term of up to five years as compensation for patent term lost during drug development and the FDA regulatory review process. This period is generally one-half the time between the effective date of an investigational new drug application (falling after issuance of the patent), and the submission date of an NDA, plus the time between the submission date of an NDA and the approval of that application. Patent term restorations, however, cannot extend the remaining term of a patent beyond a total of 14 years from the date of product approval by the FDA, only one patent may be extended, and only claims covering the approved drug, a method for using it or a method for manufacturing it may be extended. The application for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including due to failing to exercise due diligence during the testing phase or regulatory review process, failing to apply within applicable deadlines, failing to apply prior to expiration of relevant patents, or failing to satisfy other applicable requirements. If we are unable to obtain patent term extension or the term of any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spacing w:after="0" w:line="3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current or future licensors may be subject to claims challenging the inventorship or ownership of our owned and in-licensed patents and other intellectual property.</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or our current or future licensors may be subject to claims that former employees, consultants, licensees, collaborators or other third parties have an interest in our owned or in-licensed patent rights, trade secrets, or other intellectual property as an inventor, co-inventor or owner of trade secrets. For example, we or our current or future licensors may have inventorship or ownership disputes arise from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jc w:val="both"/>
        <w:spacing w:after="0" w:line="253" w:lineRule="auto"/>
        <w:rPr>
          <w:sz w:val="20"/>
          <w:szCs w:val="20"/>
          <w:color w:val="auto"/>
        </w:rPr>
      </w:pPr>
      <w:r>
        <w:rPr>
          <w:rFonts w:ascii="Times New Roman" w:cs="Times New Roman" w:eastAsia="Times New Roman" w:hAnsi="Times New Roman"/>
          <w:sz w:val="18"/>
          <w:szCs w:val="18"/>
          <w:color w:val="auto"/>
        </w:rPr>
        <w:t>conflicting obligations of consultants or others who are involved in developing any of our current or future product candidates and other proprietary technologies we may develop. We or our current or future licensors may have relied on third-party consultants or collaborators or on funds from third parties, such as from a government entity, such that we or our current or future licensors are not the sole and exclusive owners of the patents we in-licensed. The failure to name the proper inventors on a patent application can result in the patents issuing therefrom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defend against these and other claims challenging inventorship or ownership of our owned or in-licensed patent rights, trade secrets or other intellectual property. If we or our current or future licensors fail in defending any such claims, in addition to paying monetary damages, we may lose valuable intellectual property rights, such as ownership of, or the right to use intellectual property that is important to any of our current or future product candidates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and current or future licensors’ trade secrets, our business and competitive position would be harmed.</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seeking patent protection for any of our current or future product candidates and proprietary technologies, we may rely on trade secret protection and confidentiality agreements to protect our unpatented know-how, technology, and other proprietary information and to maintain our competitive position. We seek to protect these trade secrets and other proprietary technology, in part, by entering into non-disclosure and confidentiality agreements with parties who have access to them, such as our employees, licensees, third-party collaborators, CROs, contract manufacturers, consultants, advisors and other third parties. We also enter into confidentiality and invention or patent assignment agreements with our employees and consultants. Trade secrets and know-how can be difficult to protect. We cannot guarantee that we have entered into applicable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We cannot guarantee that any potential trade secrets and other proprietary and confidential information will not be disclosed or that competitors will not otherwise gain access to trade secrets. Enforcing a claim that a party illegally disclosed or misappropriated a trade secret (such as through a cybersecurity breach)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Furthermore, others may independently discover similar trade secrets and proprietary information. If any of our trade secrets were to be disclosed or misappropriated or if any such information were to be independently developed by a competitor or other third party, our competitive position would be materially and adversely harmed. Additionally,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any of our current or future product candidates.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any of our current or future product candidates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or that we caused an employee to breach the terms of his or her non-competition or non-solicitation agreement. Litigation may be necessary to defend against these claims. If we fail in defending any such claims, in addition to paying monetary damages, we may lose valuable intellectual property rights or personnel. Even if we are successful in defending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8" w:name="page79"/>
    <w:bookmarkEnd w:id="78"/>
    <w:p>
      <w:pPr>
        <w:jc w:val="both"/>
        <w:spacing w:after="0" w:line="256" w:lineRule="auto"/>
        <w:rPr>
          <w:sz w:val="20"/>
          <w:szCs w:val="20"/>
          <w:color w:val="auto"/>
        </w:rPr>
      </w:pPr>
      <w:r>
        <w:rPr>
          <w:rFonts w:ascii="Times New Roman" w:cs="Times New Roman" w:eastAsia="Times New Roman" w:hAnsi="Times New Roman"/>
          <w:sz w:val="18"/>
          <w:szCs w:val="18"/>
          <w:color w:val="auto"/>
        </w:rPr>
        <w:t>against such claims, litigation could result in substantial costs and be a distraction to our management. 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any of our current or future product candidates.</w:t>
      </w:r>
    </w:p>
    <w:p>
      <w:pPr>
        <w:spacing w:after="0" w:line="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or will be complete or thorough, nor can we be certain that we have identified or will identify each and every third-party patent and pending patent application in the United States and abroad that is relevant to or necessary for the commercialization of any of our current or future product candidates in any jurisdiction. Patent applications in the United States and elsewhere are not published until approximately 18 months after the earliest filing for which priority is claimed, with such earliest filing date being commonly referred to as the priority date. Therefore, patent applications covering any of our current or future product candidates could have been filed by others without our knowledge. The scope of a patent claim is determined by the interpretation of the law, the words of a patent claim, the written disclosure in a patent and the patent’s prosecution history. Our interpretation of the relevance or the scope of a patent or a pending patent application may be incorrect, which may negatively impact our ability to market our products. We may incorrectly determine that any of our current or future product candidates are not covered by a third-party patent or may incorrectly predict whether a third party’s pending patent application will issue with claims of relevant scope. Alternatively, we may incorrectly determine that the Hatch-Waxman Amendments are a defense for a safe harbor to infringement of a patent we consider relevant to the research or clinical development of any of our current or future product candidates. Our determination of the expiration date of any patent in the United States or abroad that we consider relevant may be incorrect, and we may incorrectly conclude that a third-party patent is invalid and unenforceable or not infringed. Our failure to identify and correctly interpret relevant patents may negatively impact our ability to develop and market any of our current or future product candidates. If we fail to identify and correctly interpret relevant patents, we may be subject to infringement claims. Also, because the claims of published patent applications can change between publication and patent grant, there may be published patent applications that may ultimately issue with claims that we infringe.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cannot guarantee that we will be able to successfully settle or otherwise resolve such infringement claims. If we fail in any such dispute, in addition to being forced to pay damages, we may be temporarily or permanently prohibited from commercializing any of our current or future product candidates that are held to be infringing. We might, if possible, also be forced to redesign any of our current or future product candidates or services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3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violations against us or our collaborators could be expensive and time-consuming and may prevent or delay the development and commercialization of any of our current or future product candidates.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inter partes review, post-grant review, and reexamination proceedings before the USPTO or oppositions and other comparable proceedings in foreign jurisdictions.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Numerous U.S. and foreign-issued patents and pending patent applications owned by third parties exist in the fields in which we plan to commercialize our programs (including obesity, weight loss and maintenance programs) and in which we are developing other proprietary technologies. As the biotechnology and pharmaceutical industries expand and more patents are issued, and as we gain greater visibility and market exposure as a public company, the risk increases that our programs and commercializing activities may give rise to claims of infringement of the patent rights of others. We cannot guarantee that our programs and other proprietary technologies we develop will not infringe existing or future patents owned by third parties. We may not be aware of patents that have already been issued for which a third party, such as a competitor in the fields in which we are developing our programs, might assert as infringed by us. It is also possible that patents owned by third parties of which we are aware, but which we do not believe we infringe or that we believe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jc w:val="both"/>
        <w:spacing w:after="0" w:line="255" w:lineRule="auto"/>
        <w:rPr>
          <w:sz w:val="20"/>
          <w:szCs w:val="20"/>
          <w:color w:val="auto"/>
        </w:rPr>
      </w:pPr>
      <w:r>
        <w:rPr>
          <w:rFonts w:ascii="Times New Roman" w:cs="Times New Roman" w:eastAsia="Times New Roman" w:hAnsi="Times New Roman"/>
          <w:sz w:val="18"/>
          <w:szCs w:val="18"/>
          <w:color w:val="auto"/>
        </w:rPr>
        <w:t>we have valid defenses to any claims of patent infringement, could be found to be infringed by us. For example, we are aware of certain patent applications and patents in the United States and abroad owned by third parties with patent claims that may be relevant to KAI-7535 in the future. It is not unusual that corresponding patents issued in different countries have different scopes of coverage, such that in one country a third-party patent does not pose a material risk, but in another country, the corresponding third-party patent may pose a material risk to any of our current or future product candidates. In addition, because patent applications can take many years to issue, there may be currently pending patent applications that may later result in issued patents that we may infringe. For example, pending patent applications that have been published can, subject to certain limitations, be later amended in a manner that could cover any of our current or future product candidates or the use of any of our current or future product candidates.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third-party claims that we infringe their patents or that we are otherwise employing their proprietary technology without authorization and initiates litigation against us, even if we believe such claims are without merit, a court could hold that such patents are valid, enforceable and infringed by us. 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be required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or at all, we may be unable to commercialize the infringing products or technologies or such commercialization efforts may be significantly delayed, which could in turn significantly harm our business. In addition, we may in the future pursue patent challenges with respect to third-party patents, including as a defense against the foregoing infringement claims. The outcome of such challenges is unpredictable.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 more effectively than we can because of greater financial resources. Such proceedings may also absorb significant time of our technical and management personnel and distract them from their normal responsibilities. Uncertainties resulting from such proceedings could impair 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results of operations and prospects.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any of our current or future product candidates.</w:t>
      </w:r>
    </w:p>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owned and in-licensed patents and other intellectual property rights, which could be expensive, time-consuming, and unsuccessful.</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Third parties, such as competitors, may infringe our owned or in-licensed patent rights. In an infringement proceeding, a court may decide that a patent we own or license is invalid or unenforceable or may refuse to stop the other party from using the invention at issue. In addition, our owned or in-licensed patent rights may become involved in inventorship, ownership, priority, enforceability, or validity disputes. To counter or defend against such claims can be expensive and time-consuming. An adverse result in any litigation proceeding could put our patent rights at risk of being invalidated, held unenforceable or interpreted narrowly. Furthermore, because of the substantial amount of discovery required in connection with intellectual property litigation and proceedings, there is a risk that some of our confidential information could be compromised by disclosure during such litigation and proceedings.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jc w:val="both"/>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diluted, circumvented or declared generic or determined to be infringing, misappropriating or violating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by the USPTO or in other foreign jurisdictions. Although we are given an opportunity to respond to such rejections, we may be unable to overcome them. If our trademarks are successfully challenged or determined to be infringing, misappropriating or violating other marks, we could be forced to rebrand our products, which could result in loss of brand recognition, and could require us to devote resources to advertising and marketing new brands. In addition, at the USPTO and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may propose to use with any of our current or future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to identify a suitable substitute name that would qualify under applicable trademark laws, not infringe, misappropriate or otherwise violate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be able to obtain, protect or enforce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obtain,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380" w:right="20" w:hanging="372"/>
        <w:spacing w:after="0" w:line="282"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of our current or future product candidates or utilize similar technology but that are not covered by the claims of the patents that we own or license or may own or license in the future;</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our current or future patent applications;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our or their inventions;</w:t>
      </w:r>
    </w:p>
    <w:p>
      <w:pPr>
        <w:spacing w:after="0" w:line="117"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and future patent applications that we own or license will not lead to issued patents;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ind w:left="380" w:hanging="372"/>
        <w:spacing w:after="0" w:line="282"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 that we currently own or license or may own or license in the future may be held invalid or unenforceable, including as a result of legal challenges by our competitors or other third parties;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17"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or our current or future licensors do not have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identify potential patentable subject matter and/or may fail to file on it;</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harm our business; and</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for patent protection to maintain certain trade secrets or know-how, and a third party may subsequently file a patent application covering such intellectual property or disclose information resulting in a loss of protection for such trade secret.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 foregoing occur, it could adversely affect our business, financial condition, results of operations and prospects.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pipeline through future acquisitions and in-licenses.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growth of our business may depend in part on our ability to acquire, in-license or use third-party intellectual property and proprietary rights. For example, any of our current or future product candidates may require specific formulations, delivery devices, or dosing regimens to work effectively and efficiently, we may need to use specific synthetic methods, intermediates or other reagents to efficiently manufacture our current or future product candidates, we may develop product candidates containing our compounds and pre-existing pharmaceutical compounds, we may develop combination therapies with our compounds and third-party compounds, any of which could require us to obtain rights to use intellectual property held by third parties. In addition, with respect to any patent or other intellectual property rights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misappropriate or otherwise violate those intellectual property rights, which may entail additional costs and development delays, even if we were able to develop such alternatives, which may not be feasible. Even if we can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may collaborate with academic institutions to accelerate our research and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 Even if we can obtain a license, it may be non-exclusive, and our competitors may also receive access to the same technologies licensed to us.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to commercialize any of our current or future product candidates. More established companies may have a competitive advantage over us due to their size, cash resources or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any of our current or future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market for our common stock may not develop, or we may in the future fail to satisfy the continued listing requirements of Nasdaq, and you may not be able to resell your common stock at a price that you consider reasonable.</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active trading market for our common stock may not develop or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could be highly volatile, and purchasers of our common stock could incur substantial losses.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a price that you consider reasonable. The market price for our common stock may be influenced by those factors discussed in this “Risk Factors” section and many others, including:</w:t>
      </w:r>
    </w:p>
    <w:p>
      <w:pPr>
        <w:spacing w:after="0" w:line="72"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clinical trials and nonclinical studies, and the results of trials of our competitors or those of other companies in our market sector;</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our future clinical trials;</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any of our current or future product candidates or additional indications thereof, or limitations to specific label indications or patient populations for their use, or changes or delays in the regulatory review process;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our efforts to develop, acquire, or license any of our current or future product candidates;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clinical trial results, product approvals and other developments regarding our competitors;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collaborators or other strategic partners;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development timelines or those of companies that are perceived to be similar to us, including variations from expectations of securities analysts or investors;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biopharmaceutical sector and issuance of securities analysts’ reports or recommendations;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stock by us, our insiders or our stockholders, as well as the anticipation of lock-up releases or expiration of market stand-off or lock-up agreements;</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geopolitical and market conditions, such as military conflict or war, inflation and financial institution instability, or pandemic or epidemic disease outbreaks, many of which are beyond our control;</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senior management, directors or key personnel;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3" w:name="page84"/>
    <w:bookmarkEnd w:id="83"/>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product liability or other litigation against us or our inability to enforce our intellectual property;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and the incurrence of additional debt;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divert our management’s attention and resources and damage our reputation, which could have a material adverse effect on our business, financial condition, results of operations and prospects.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will continue to have the ability to significantly influence all matters submitted to stockholders for approval.</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executive officers, directors and greater than 5% stockholders, if they choose to act together, will have the ability to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so any returns on your investment will be limited to the value of our common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or equity-linked securities.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directors and executive officers and substantially all of our securityholders before our initial public offering have entered into lock-up agreements in connection with our initial public offering pursuant to which they may not, with limited exceptions, for a period expiring at the close of business on October 13, 2026, offer, sell or otherwise transfer or dispose of any of our securities, without the prior written consent of two of the representatives of the underwriters, one of whom must be J.P. Morgan Securities LLC and the other of whom shall be selected by us in our sole discretion. The underwriters may permit our officers, directors and other securityholders who are subject to the lock-up agreements to sell shares prior to the expiration of the lock-up agreements at any time in their sole discretion. Sales of these shares, or perceptions that they will be sold, could cause the trading price of our common stock to decline. After the lock-up agreements expire, substantially all of our outstanding shares of common stock will be eligible for sale in the public market, unless held by one of our directors, executive officers or other affiliates, in which case the resale of those shares will be subject to volume limitations under Rule 144 under the Securities Act.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registered all shares of common stock that we may issue under our equity compensation plans. Such shares of common stock that are subject to outstanding options under our equity compensation plans will become eligible for sale in the public market to the extent permitted by the provisions of various vesting schedules and the lock-up agreements described in the “Underwriting” section of the Prospectus. If these additional shares of common stock are sold, or if it is perceived that they will be sold, in the public market, the trading price of our common stock could decline.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certain shares of our common stock will be entitled to rights with respect to the registration of their shares under the Securities Act, subject to vesting and the lock-up agreements described above.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4" w:name="page85"/>
    <w:bookmarkEnd w:id="8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or JOBS Act, and may remain an emerging growth company until the last day of the fiscal year following the fifth anniversary of the date of our initial public offering, or December 31, 2031. However, if certain events occur prior to the end of such five-year period, including if we become a “large accelerated filer”, as defined under the Exchange Act, our annual gross revenue exceeds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81" w:lineRule="exact"/>
        <w:rPr>
          <w:sz w:val="20"/>
          <w:szCs w:val="20"/>
          <w:color w:val="auto"/>
        </w:rPr>
      </w:pPr>
    </w:p>
    <w:p>
      <w:pPr>
        <w:ind w:left="380" w:hanging="372"/>
        <w:spacing w:after="0" w:line="282"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pursuant to the Sarbanes-Oxley Act of 2002, or Sarbanes-Oxley;</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consolidated financial statements;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taken advantage of reduced reporting burdens in the Prospectus and in this Quarterly Report on Form 10-Q. In particular, in the Prospectus, we provided only two years of audited financial statements and did not include all of the executive compensation-related information that would be required if we were not an emerging growth company. In addition, in this Quarterly Report on Form 10-Q, we have taken advantage of some of the scaled disclosures permitted, such as excluding quantitative and qualitative disclosures about market risk that would be required if we were not a smaller reporting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to avail ourselves of this exemption and, therefore, we may not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w:t>
      </w:r>
    </w:p>
    <w:p>
      <w:pPr>
        <w:spacing w:after="0" w:line="179" w:lineRule="exact"/>
        <w:rPr>
          <w:sz w:val="20"/>
          <w:szCs w:val="20"/>
          <w:color w:val="auto"/>
        </w:rPr>
      </w:pPr>
    </w:p>
    <w:p>
      <w:pPr>
        <w:jc w:val="both"/>
        <w:ind w:right="20"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will include the following:</w:t>
      </w:r>
    </w:p>
    <w:p>
      <w:pPr>
        <w:spacing w:after="0" w:line="68" w:lineRule="exact"/>
        <w:rPr>
          <w:sz w:val="20"/>
          <w:szCs w:val="20"/>
          <w:color w:val="auto"/>
        </w:rPr>
      </w:pPr>
    </w:p>
    <w:p>
      <w:pPr>
        <w:ind w:left="380" w:right="20" w:hanging="372"/>
        <w:spacing w:after="0" w:line="282"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5" w:name="page86"/>
    <w:bookmarkEnd w:id="85"/>
    <w:p>
      <w:pPr>
        <w:ind w:left="380" w:hanging="372"/>
        <w:spacing w:after="0" w:line="282"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66-2/3% of the shares entitled to vote to remove a director for cause, and the prohibition on removal of directors without cause;</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117"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forum provision providing that the Court of Chancery of the State of Delaware will be the exclusive forum for certain actions and proceedings;</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53"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and that the federal district courts shall be the exclusive forum for the resolution of any complaint asserting a cause of action arising under the Securities Act, which could limit our stockholders’ ability to obtain a favorable judicial forum for disputes with us or our directors, officers or employees or the underwriters or any offering giving rise to such claim.</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Exchange Act or any other claim for which the federal courts have exclusive jurisdiction.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result in increased costs to stockholders to bring a claim, limit a stockholder’s ability to bring a claim in a judicial forum that it finds favorable for disputes with us or our directors, officers or other employees, and may generally have the effect of discouraging lawsuits against us and our directors, officers and other employees.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Sarbanes-Oxley and rules subsequently adopted by the SEC and Nasdaq to implement provisions of Sarbanes-Oxley impose significant requirements on public companies,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6" w:name="page87"/>
    <w:bookmarkEnd w:id="86"/>
    <w:p>
      <w:pPr>
        <w:jc w:val="both"/>
        <w:spacing w:after="0" w:line="256" w:lineRule="auto"/>
        <w:rPr>
          <w:sz w:val="20"/>
          <w:szCs w:val="20"/>
          <w:color w:val="auto"/>
        </w:rPr>
      </w:pPr>
      <w:r>
        <w:rPr>
          <w:rFonts w:ascii="Times New Roman" w:cs="Times New Roman" w:eastAsia="Times New Roman" w:hAnsi="Times New Roman"/>
          <w:sz w:val="18"/>
          <w:szCs w:val="18"/>
          <w:color w:val="auto"/>
        </w:rPr>
        <w:t>including requiring establishment and maintenance of effective disclosure and financial controls and certain corporate governance practices. Further, pursuant to the Dodd-Frank Wall Street Reform and Consumer Protection Act of 2010, the SEC has adopted additional rules and regulations in these areas, such as mandatory “say-on-pay”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substantially increase our legal and financial compliance costs and to make some activities more time-consuming and costly. The increased costs will decrease our net income or increase our net loss, and may require us to reduce expenditures in other areas of our business. For example, we expect these rules and regulations to make it more difficult and more expensive for us to obtain directors and officers liability insurance, and we may be required to incur substantial costs to maintain the same or similar coverage. We cannot predict or estimate the amount or timing of additional costs we may incur to comply with these requirements. The impact of these requirements could also make it more difficult for us to attract and retain qualified persons to serve on our board of directors, our board committees or as executive officers. If these requirements divert the attention of our management and personnel from other business concerns, they could have a material adverse effect on our business, financial condition, results of operations and prospects.</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We could face criminal liability and other serious consequences for violations, which could harm our 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or from recipients in the public or private sector. We may engage third parties for clinical trials outside of the United States, to sell our products abroad if and when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and any training or compliance programs or other initiatives we undertake to prevent such activities may not be effective.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provision of certain products and services to countries, governments, and persons targeted by U.S. sanctions. U.S. sanctions that have been or may be imposed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any of our third-party manufacturers or suppliers may use potent chemical agents and hazardous materials, and any claims relating to improper handling, storage, or disposal of these materials could be time-consuming or costly.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any of our third-party manufacturers or suppliers and our current or any future collaborators may use biological materials, potent chemical agents and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neither we or our third-party manufacturers and suppliers can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at our, our manufacturers’ or our suppliers’ sites, we could be held liable for damages or be penalized with fines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7" w:name="page88"/>
    <w:bookmarkEnd w:id="87"/>
    <w:p>
      <w:pPr>
        <w:jc w:val="both"/>
        <w:spacing w:after="0" w:line="261" w:lineRule="auto"/>
        <w:rPr>
          <w:sz w:val="20"/>
          <w:szCs w:val="20"/>
          <w:color w:val="auto"/>
        </w:rPr>
      </w:pPr>
      <w:r>
        <w:rPr>
          <w:rFonts w:ascii="Times New Roman" w:cs="Times New Roman" w:eastAsia="Times New Roman" w:hAnsi="Times New Roman"/>
          <w:sz w:val="18"/>
          <w:szCs w:val="18"/>
          <w:color w:val="auto"/>
        </w:rPr>
        <w:t>in an amount exceeding our resources, and our clinical trials or regulatory approvals could be suspended. Although we maintain workers’ compensation insurance for certain costs and expenses we may incur due to injuries to our employees resulting from work-related injuries, this insurance may not provide adequate coverage against potential liabilities. We do not maintain insurance for toxic tort claims that may be asserted against us in connection with the storage or disposal of biologic, hazardous or radioactive materials.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and the operations of our manufacturers, suppliers, collaborators, CROs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and other natural or manmade disasters, geopolitical actions or business interruptions, for which we are predominantly self-insured. We rely on third-party manufacturers or suppliers in various countries to produce our current or future product candidates and its components and on CROs and clinical sites to conduct our clinical trials, and do not have a redundant source of supply for all components of any of our current or future product candidates. Our ability to obtain clinical or, if approved, commercial, supplies of any of our current or future product candidates could be disrupted if the operations of these suppliers were affected by a man-made or natural disaster, geopolitical action or other business interruption, and our ability to commence, conduct or complete our clinical trials in a timely manner could be similarly adversely affected by any of the foregoing. The occurrence of any of these business disruptions could seriously harm our operations and financial condition and increase our costs and expenses.</w:t>
      </w:r>
    </w:p>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and adverse developments with respect to financial institutions and associated liquidity risk may have serious adverse consequences on our business, financial condition and stock price.</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including the conflicts between Russia and Ukraine and in the Middle East, terrorism or other geopolitical events. Sanctions imposed by the United States and other countries in response to such conflicts, including the one in Ukraine, may also adversely impact the financial markets and the global economy, and any economic countermeasures by the affected countries or others could exacerbate market and economic instability. In addition, in 2023 the closures of financial institutions and their placement into receivership with the FDIC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or continued unpredictable and unstable market conditions. If the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 have a material adverse effect on our growth strategy, financial performance and stock price and could require us to delay, limit, reduce or abandon product development or future commercialization efforts or grant rights to develop and market our product candidates even if we would otherwise prefer to develop and market such product candidates ourselves. In addition, there is a risk that one or more of our current service providers, financial institutions, manufacturers and other partners may be adversely affected by the foregoing risks, which could directly affect our ability to attain our operating goals on schedule and on budget.</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Section 404 of Sarbanes-Oxley, our management will be required to report upon the effectiveness of our internal control over financial reporting beginning with the second annual report following the completion of our initial public offering. When we are no longer an “emerging growth company” and do not otherwise qualify as a “smaller reporting company” under the SEC rules, our independent registered public accounting firm will be required to attest to the effectiveness of our internal control over financial reporting. The rules governing the standards that must be met for our management to assess our internal control over financial reporting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8" w:name="page89"/>
    <w:bookmarkEnd w:id="88"/>
    <w:p>
      <w:pPr>
        <w:jc w:val="both"/>
        <w:spacing w:after="0" w:line="261" w:lineRule="auto"/>
        <w:rPr>
          <w:sz w:val="20"/>
          <w:szCs w:val="20"/>
          <w:color w:val="auto"/>
        </w:rPr>
      </w:pPr>
      <w:r>
        <w:rPr>
          <w:rFonts w:ascii="Times New Roman" w:cs="Times New Roman" w:eastAsia="Times New Roman" w:hAnsi="Times New Roman"/>
          <w:sz w:val="18"/>
          <w:szCs w:val="18"/>
          <w:color w:val="auto"/>
        </w:rPr>
        <w:t>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If we face such litigation, even if ultimately decided in our favor, it could result in substantial costs and a diversion of our management’s attention and resources, which could harm our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Equity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and Exercises of Stock Options</w:t>
      </w:r>
    </w:p>
    <w:p>
      <w:pPr>
        <w:spacing w:after="0" w:line="11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From January 1, 2026 through March 31, 2026, we issued 10,905 shares of common stock upon the exercise of options at a weighted-average exercise price of $5.25 per share. From January 1, 2026 through March 31, 2026, we granted stock options to purchase an aggregate of 1,572,649 shares of our common stock with a weighted-average exercise price of $10.65 per share.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offers, sales and issuances of the securities described above were deemed to be exempt from registration under Rule 701 promulgated under the Securities Act as transactions under compensatory benefit plans and contracts relating to compensation, or under Section 4(a)(2) of the Securities Act as a transaction by an issuer not involving a public offering. The recipients of such securities were our directors, employees or bona fide consultants and received the securities under our equity incentive plans. Appropriate legends were affixed to the securities issued in these transactions. Each of the recipients of securities in these transactions had adequate access, through employment, business or other relationships, to information about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our Public Offering of Common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20, 2026, we completed the initial public offering of our common stock pursuant to which we issued and sold 44,921,875 shares of our common stock (inclusive of 5,859,375 shares pursuant to the full exercise of the underwriters’ overallotment option) at a price to the public of $16.00 per share.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shares issued and sold in the initial public offering were registered under the Securities Act pursuant to a Registration Statement on Form S-1 (File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333-294690), as amended, declared effective by the SEC on April 16, 2026.</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received net proceeds of $662.1 million from our initial public offering, after deducting underwriting discounts and commissions of $50.3 million and estimated offering expenses of $6.4 million. None of the expenses associated with the initial public offering were paid to directors, officers, persons owning 10% or more of any class of equity securities, or to our affiliates. J.P. Morgan Securities LLC, Jefferies LLC, Leerink Partners LLC, TD Securities (USA) LLC and Evercore Group L.L.C. acted as joint book-running managers for the offering.</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holding a significant portion of the balance of the proceeds in a variety of capital preservation investments, including money market funds, U.S. government securities, and corporate bonds. There has been no material change in the expected use of the net proceeds from our initial public offering as described in our Prospectus filed pursuant to Rule 424(b)(4) under the Securities Act with the SEC on April 17,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260" w:hanging="252"/>
        <w:spacing w:after="0"/>
        <w:tabs>
          <w:tab w:leader="none" w:pos="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right="20" w:firstLine="8"/>
        <w:spacing w:after="0" w:line="282" w:lineRule="auto"/>
        <w:tabs>
          <w:tab w:leader="none" w:pos="2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March 31, 2026, none of our directors or officers (as defined in Rule 16a-1 under the Exchange Act) adopted or terminated a “Rule 10b5-1 trading arrangement” or “non-Rule 10b5-1 trading arrangement” (as those terms are defined in Item 408 of Regulation S-K).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gridSpan w:val="3"/>
            <w:vMerge w:val="restart"/>
          </w:tcPr>
          <w:p>
            <w:pPr>
              <w:ind w:left="3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2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4"/>
                <w:szCs w:val="14"/>
                <w:color w:val="auto"/>
              </w:rPr>
            </w:pPr>
          </w:p>
        </w:tc>
        <w:tc>
          <w:tcPr>
            <w:tcW w:w="10160" w:type="dxa"/>
            <w:vAlign w:val="bottom"/>
            <w:tcBorders>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7"/>
                <w:szCs w:val="17"/>
                <w:color w:val="auto"/>
              </w:rPr>
            </w:pPr>
          </w:p>
        </w:tc>
        <w:tc>
          <w:tcPr>
            <w:tcW w:w="101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7"/>
                <w:szCs w:val="17"/>
                <w:color w:val="auto"/>
              </w:rPr>
            </w:pPr>
          </w:p>
        </w:tc>
        <w:tc>
          <w:tcPr>
            <w:tcW w:w="101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2002.</w:t>
            </w:r>
          </w:p>
        </w:tc>
        <w:tc>
          <w:tcPr>
            <w:tcW w:w="20" w:type="dxa"/>
            <w:vAlign w:val="bottom"/>
            <w:tcBorders>
              <w:bottom w:val="single" w:sz="8" w:color="0000EE"/>
            </w:tcBorders>
          </w:tcPr>
          <w:p>
            <w:pPr>
              <w:spacing w:after="0"/>
              <w:rPr>
                <w:sz w:val="17"/>
                <w:szCs w:val="17"/>
                <w:color w:val="auto"/>
              </w:rPr>
            </w:pPr>
          </w:p>
        </w:tc>
        <w:tc>
          <w:tcPr>
            <w:tcW w:w="9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7"/>
                <w:szCs w:val="17"/>
                <w:color w:val="auto"/>
              </w:rPr>
            </w:pPr>
          </w:p>
        </w:tc>
        <w:tc>
          <w:tcPr>
            <w:tcW w:w="101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2002.</w:t>
            </w:r>
          </w:p>
        </w:tc>
        <w:tc>
          <w:tcPr>
            <w:tcW w:w="20" w:type="dxa"/>
            <w:vAlign w:val="bottom"/>
            <w:tcBorders>
              <w:bottom w:val="single" w:sz="8" w:color="0000EE"/>
            </w:tcBorders>
          </w:tcPr>
          <w:p>
            <w:pPr>
              <w:spacing w:after="0"/>
              <w:rPr>
                <w:sz w:val="17"/>
                <w:szCs w:val="17"/>
                <w:color w:val="auto"/>
              </w:rPr>
            </w:pPr>
          </w:p>
        </w:tc>
        <w:tc>
          <w:tcPr>
            <w:tcW w:w="9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18"/>
                <w:szCs w:val="18"/>
                <w:color w:val="auto"/>
              </w:rPr>
            </w:pPr>
          </w:p>
        </w:tc>
        <w:tc>
          <w:tcPr>
            <w:tcW w:w="10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20"/>
                <w:szCs w:val="20"/>
                <w:color w:val="auto"/>
              </w:rPr>
            </w:pPr>
          </w:p>
        </w:tc>
        <w:tc>
          <w:tcPr>
            <w:tcW w:w="10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right="4380" w:firstLine="8"/>
        <w:spacing w:after="0" w:line="451"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ind w:left="240" w:hanging="232"/>
        <w:spacing w:after="0"/>
        <w:tabs>
          <w:tab w:leader="none" w:pos="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95123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864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Kailera Therapeutics, Inc.</w:t>
            </w:r>
          </w:p>
        </w:tc>
      </w:tr>
      <w:tr>
        <w:trPr>
          <w:trHeight w:val="432"/>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16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Ronald C. Renaud, Jr.</w:t>
            </w:r>
          </w:p>
        </w:tc>
      </w:tr>
      <w:tr>
        <w:trPr>
          <w:trHeight w:val="191"/>
        </w:trPr>
        <w:tc>
          <w:tcPr>
            <w:tcW w:w="2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Ronald C. Renaud, Jr.</w:t>
            </w:r>
          </w:p>
        </w:tc>
      </w:tr>
      <w:tr>
        <w:trPr>
          <w:trHeight w:val="216"/>
        </w:trPr>
        <w:tc>
          <w:tcPr>
            <w:tcW w:w="2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2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16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7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Pagán</w:t>
            </w:r>
          </w:p>
        </w:tc>
      </w:tr>
      <w:tr>
        <w:trPr>
          <w:trHeight w:val="211"/>
        </w:trPr>
        <w:tc>
          <w:tcPr>
            <w:tcW w:w="2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Douglas Pagán</w:t>
            </w:r>
          </w:p>
        </w:tc>
      </w:tr>
    </w:tbl>
    <w:p>
      <w:pPr>
        <w:ind w:left="4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C. Renaud, Jr., certify that:</w:t>
      </w:r>
    </w:p>
    <w:p>
      <w:pPr>
        <w:spacing w:after="0" w:line="225"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Kailera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24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Ronald C. Renaud, Jr.</w:t>
            </w:r>
          </w:p>
        </w:tc>
      </w:tr>
      <w:tr>
        <w:trPr>
          <w:trHeight w:val="191"/>
        </w:trPr>
        <w:tc>
          <w:tcPr>
            <w:tcW w:w="35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Ronald C. Renaud, Jr.</w:t>
            </w:r>
          </w:p>
        </w:tc>
      </w:tr>
      <w:tr>
        <w:trPr>
          <w:trHeight w:val="214"/>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979"/>
        </w:trPr>
        <w:tc>
          <w:tcPr>
            <w:tcW w:w="35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Pagán, certify that:</w:t>
      </w:r>
    </w:p>
    <w:p>
      <w:pPr>
        <w:spacing w:after="0" w:line="225"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Kailera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24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Douglas Pagán</w:t>
            </w:r>
          </w:p>
        </w:tc>
      </w:tr>
      <w:tr>
        <w:trPr>
          <w:trHeight w:val="191"/>
        </w:trPr>
        <w:tc>
          <w:tcPr>
            <w:tcW w:w="35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Douglas Pagán</w:t>
            </w:r>
          </w:p>
        </w:tc>
      </w:tr>
      <w:tr>
        <w:trPr>
          <w:trHeight w:val="214"/>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r>
      <w:tr>
        <w:trPr>
          <w:trHeight w:val="979"/>
        </w:trPr>
        <w:tc>
          <w:tcPr>
            <w:tcW w:w="35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Kailera Therapeutics, Inc. (the “Company”) on Form 10-Q for the period ended March 31, 2026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24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Ronald C. Renaud, Jr.</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Ronald C. Renaud, Jr.</w:t>
            </w:r>
          </w:p>
        </w:tc>
      </w:tr>
      <w:tr>
        <w:trPr>
          <w:trHeight w:val="214"/>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1222"/>
        </w:trPr>
        <w:tc>
          <w:tcPr>
            <w:tcW w:w="35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Kailera Therapeutics, Inc. (the “Company”) on Form 10-Q for the period ended March 31, 2026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24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Douglas Pagán</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Douglas Pagán</w:t>
            </w:r>
          </w:p>
        </w:tc>
      </w:tr>
      <w:tr>
        <w:trPr>
          <w:trHeight w:val="214"/>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r>
      <w:tr>
        <w:trPr>
          <w:trHeight w:val="1222"/>
        </w:trPr>
        <w:tc>
          <w:tcPr>
            <w:tcW w:w="35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decimal"/>
      <w:start w:val="2"/>
    </w:lvl>
  </w:abstractNum>
  <w:abstractNum w:abstractNumId="5">
    <w:nsid w:val="8138641"/>
    <w:multiLevelType w:val="hybridMultilevel"/>
    <w:lvl w:ilvl="0">
      <w:lvlJc w:val="left"/>
      <w:lvlText w:val="%1"/>
      <w:numFmt w:val="decimal"/>
      <w:start w:val="1"/>
    </w:lvl>
    <w:lvl w:ilvl="1">
      <w:lvlJc w:val="left"/>
      <w:lvlText w:val="%2)"/>
      <w:numFmt w:val="decimal"/>
      <w:start w:val="1"/>
    </w:lvl>
  </w:abstractNum>
  <w:abstractNum w:abstractNumId="6">
    <w:nsid w:val="1E7FF521"/>
    <w:multiLevelType w:val="hybridMultilevel"/>
    <w:lvl w:ilvl="0">
      <w:lvlJc w:val="left"/>
      <w:lvlText w:val="%1."/>
      <w:numFmt w:val="decimal"/>
      <w:start w:val="15"/>
    </w:lvl>
    <w:lvl w:ilvl="1">
      <w:lvlJc w:val="left"/>
      <w:lvlText w:val="%2"/>
      <w:numFmt w:val="decimal"/>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1)"/>
      <w:numFmt w:val="decimal"/>
      <w:start w:val="3"/>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1)"/>
      <w:numFmt w:val="lowerRoman"/>
      <w:start w:val="3"/>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
      <w:numFmt w:val="bullet"/>
      <w:start w:val="1"/>
    </w:lvl>
    <w:lvl w:ilvl="1">
      <w:lvlJc w:val="left"/>
      <w:lvlText w:val="%2"/>
      <w:numFmt w:val="decimal"/>
      <w:start w:val="104"/>
    </w:lvl>
  </w:abstractNum>
  <w:abstractNum w:abstractNumId="49">
    <w:nsid w:val="75C6C33A"/>
    <w:multiLevelType w:val="hybridMultilevel"/>
    <w:lvl w:ilvl="0">
      <w:lvlJc w:val="left"/>
      <w:lvlText w:val="**"/>
      <w:numFmt w:val="bullet"/>
      <w:start w:val="1"/>
    </w:lvl>
    <w:lvl w:ilvl="1">
      <w:lvlJc w:val="left"/>
      <w:lvlText w:val="%2"/>
      <w:numFmt w:val="decimal"/>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2026-05-26T15:46:34Z</dcterms:created>
  <dcterms:modified xsi:type="dcterms:W3CDTF">2026-05-26T15:46:34Z</dcterms:modified>
</cp:coreProperties>
</file>