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KAILERA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001-43233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99-3088927</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180 Third Avenue, 4th Floor</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(781) 317-0290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KLRA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 Amendments to Articles of Incorporation or Bylaws; Change in Fiscal Year.</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On April 20, 2026, Kailera Therapeutics, Inc. (the “Company”) filed an amended and restated certificate of incorporation (the “Restated Certificate”) with the Secretary of State of the State of Delaware in connection with the closing of the initial public offering (the “IPO”) of shares of its common stock. The Company’s board of directors and stockholders previously approved the filing of the Restated Certificate to be effective immediately after the closing of the IPO.</w:t>
      </w:r>
    </w:p>
    <w:p>
      <w:pPr>
        <w:spacing w:after="0" w:line="180" w:lineRule="exact"/>
        <w:rPr>
          <w:sz w:val="20"/>
          <w:szCs w:val="20"/>
          <w:color w:val="auto"/>
        </w:rPr>
      </w:pPr>
    </w:p>
    <w:p>
      <w:pPr>
        <w:ind w:left="4" w:right="60"/>
        <w:spacing w:after="0" w:line="252" w:lineRule="auto"/>
        <w:rPr>
          <w:sz w:val="20"/>
          <w:szCs w:val="20"/>
          <w:color w:val="auto"/>
        </w:rPr>
      </w:pPr>
      <w:r>
        <w:rPr>
          <w:rFonts w:ascii="Times New Roman" w:cs="Times New Roman" w:eastAsia="Times New Roman" w:hAnsi="Times New Roman"/>
          <w:sz w:val="18"/>
          <w:szCs w:val="18"/>
          <w:color w:val="auto"/>
        </w:rPr>
        <w:t>The Restated Certificate amended and restated the Company’s prior amended and restated certificate of incorporation, as amended, in its entirety, to, among other things: (i) fix the authorized number of shares of common stock at 800,000,000 shares; (ii) eliminate all references to the previously existing series of preferred stock; (iii) authorize 10,000,000 shares of undesignated preferred stock that may be issued from time to time by the Company’s board of directors in one or more series; (iv) establish a classified board of directors, divided into three classes, each of whose members will serve for staggered three-year terms; (v) provide that directors may be removed from office only for cause and only upon the affirmative vote of the holders of at least two-thirds of the Company’s capital stock entitled to vote thereon; (vi) require the advance notice of nominations for election to the board of directors or for proposing matters that can be acted upon at a stockholders’ meeting in the manner provided in the Company’s bylaws then in effect; (vii) eliminate the ability of the Company’s stockholders to take action by written consent in lieu of a meeting; (viii) designate the Court of Chancery of the State of Delaware to be the sole and exclusive forum for certain actions, including, but not limited to, derivative actions, suits or proceedings brought on behalf of the Company or actions, suits or proceedings asserting claims of breach of a fiduciary duty owed by any of the Company’s directors, officers or stockholders, provided that the exclusive forum provision will not apply to actions brought to enforce any liability or duty created by the Securities Exchange Act of 1934, as amended, or any other claim for which the federal courts have exclusive jurisdiction; and</w:t>
      </w:r>
    </w:p>
    <w:p>
      <w:pPr>
        <w:spacing w:after="0" w:line="2" w:lineRule="exact"/>
        <w:rPr>
          <w:sz w:val="20"/>
          <w:szCs w:val="20"/>
          <w:color w:val="auto"/>
        </w:rPr>
      </w:pPr>
    </w:p>
    <w:p>
      <w:pPr>
        <w:ind w:left="4" w:right="100" w:hanging="4"/>
        <w:spacing w:after="0" w:line="260" w:lineRule="auto"/>
        <w:tabs>
          <w:tab w:leader="none" w:pos="3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the federal district courts of the United States of America to be the sole and exclusive forum for the resolution of any complaint asserting a cause of action arising under the Securities Act of 1933, as amended.</w:t>
      </w:r>
    </w:p>
    <w:p>
      <w:pPr>
        <w:spacing w:after="0" w:line="18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made by the Restated Certificate is qualified by reference to the Restated Certificate, a copy of which is attached hereto as Exhibit 3.1 and is incorporated herein by reference.</w:t>
      </w:r>
    </w:p>
    <w:p>
      <w:pPr>
        <w:spacing w:after="0" w:line="162" w:lineRule="exact"/>
        <w:rPr>
          <w:sz w:val="20"/>
          <w:szCs w:val="20"/>
          <w:color w:val="auto"/>
        </w:rPr>
      </w:pPr>
    </w:p>
    <w:p>
      <w:pPr>
        <w:ind w:left="4" w:right="80"/>
        <w:spacing w:after="0" w:line="281" w:lineRule="auto"/>
        <w:rPr>
          <w:sz w:val="20"/>
          <w:szCs w:val="20"/>
          <w:color w:val="auto"/>
        </w:rPr>
      </w:pPr>
      <w:r>
        <w:rPr>
          <w:rFonts w:ascii="Times New Roman" w:cs="Times New Roman" w:eastAsia="Times New Roman" w:hAnsi="Times New Roman"/>
          <w:sz w:val="17"/>
          <w:szCs w:val="17"/>
          <w:color w:val="auto"/>
        </w:rPr>
        <w:t>On April 20, 2026, in connection with the closing of the IPO, the amended and restated bylaws of the Company (the “Amended and Restated Bylaws”), previously approved by the Company’s board of directors, became effective. The Amended and Restated Bylaws amended and restated the Company’s prior bylaws in their entirety to, among other things: (i) establish procedures relating to the presentation of stockholder proposals at stockholder meetings; (ii) establish procedures relating to the nomination of directors; and (iii) conform to the amended provisions of the Restated Certificate.</w:t>
      </w:r>
    </w:p>
    <w:p>
      <w:pPr>
        <w:spacing w:after="0" w:line="164"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made in the Amended and Restated Bylaws is qualified by reference to the Amended and Restated Bylaws, a copy of which is attached hereto as Exhibit 3.2 and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On April 20, 2026, the Company completed its IPO of 44,921,875 shares of its common stock, which includes the exercise in full by the underwriters of their option to purchase 5,859,375 additional shares, at a public offering price of $16.00 per share. The gross proceeds to the Company from the IPO were $718.8 million, before deducting underwriting discounts and commissions and estimated offering expenses payable by the Company.</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004"/>
          </w:cols>
          <w:pgMar w:left="436"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0" w:type="dxa"/>
            <w:vAlign w:val="bottom"/>
          </w:tcPr>
          <w:p>
            <w:pPr>
              <w:spacing w:after="0"/>
              <w:rPr>
                <w:sz w:val="13"/>
                <w:szCs w:val="13"/>
                <w:color w:val="auto"/>
              </w:rPr>
            </w:pPr>
          </w:p>
        </w:tc>
      </w:tr>
      <w:tr>
        <w:trPr>
          <w:trHeight w:val="173"/>
        </w:trPr>
        <w:tc>
          <w:tcPr>
            <w:tcW w:w="120" w:type="dxa"/>
            <w:vAlign w:val="bottom"/>
          </w:tcPr>
          <w:p>
            <w:pPr>
              <w:spacing w:after="0"/>
              <w:rPr>
                <w:sz w:val="15"/>
                <w:szCs w:val="15"/>
                <w:color w:val="auto"/>
              </w:rPr>
            </w:pPr>
          </w:p>
        </w:tc>
        <w:tc>
          <w:tcPr>
            <w:tcW w:w="760" w:type="dxa"/>
            <w:vAlign w:val="bottom"/>
            <w:gridSpan w:val="2"/>
          </w:tcPr>
          <w:p>
            <w:pPr>
              <w:jc w:val="center"/>
              <w:ind w:right="540"/>
              <w:spacing w:after="0" w:line="153" w:lineRule="exact"/>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r>
      <w:tr>
        <w:trPr>
          <w:trHeight w:val="26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2"/>
                <w:szCs w:val="22"/>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Restated Certificate of Incorporation of Kailera Therapeutics, Inc.</w:t>
            </w: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43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Kailera Therapeutics, Inc.</w:t>
            </w:r>
          </w:p>
        </w:tc>
        <w:tc>
          <w:tcPr>
            <w:tcW w:w="380" w:type="dxa"/>
            <w:vAlign w:val="bottom"/>
            <w:tcBorders>
              <w:top w:val="single" w:sz="8" w:color="0000EE"/>
            </w:tcBorders>
          </w:tcPr>
          <w:p>
            <w:pPr>
              <w:spacing w:after="0"/>
              <w:rPr>
                <w:sz w:val="24"/>
                <w:szCs w:val="24"/>
                <w:color w:val="auto"/>
              </w:rPr>
            </w:pPr>
          </w:p>
        </w:tc>
        <w:tc>
          <w:tcPr>
            <w:tcW w:w="5400" w:type="dxa"/>
            <w:vAlign w:val="bottom"/>
          </w:tcPr>
          <w:p>
            <w:pPr>
              <w:spacing w:after="0"/>
              <w:rPr>
                <w:sz w:val="24"/>
                <w:szCs w:val="24"/>
                <w:color w:val="auto"/>
              </w:rPr>
            </w:pPr>
          </w:p>
        </w:tc>
      </w:tr>
      <w:tr>
        <w:trPr>
          <w:trHeight w:val="34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rPr>
          <w:sz w:val="20"/>
          <w:szCs w:val="20"/>
          <w:color w:val="auto"/>
        </w:rPr>
        <w:sectPr>
          <w:pgSz w:w="11900" w:h="16838" w:orient="portrait"/>
          <w:cols w:equalWidth="0" w:num="1">
            <w:col w:w="11020"/>
          </w:cols>
          <w:pgMar w:left="440" w:top="27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KAILERA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Ronald C. Renaud,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Ronald C. Renaud, Jr.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KAILERA THERAPEUTICS, INC.</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Kailera Therapeutics,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 as follows:</w:t>
      </w:r>
    </w:p>
    <w:p>
      <w:pPr>
        <w:spacing w:after="0" w:line="54" w:lineRule="exact"/>
        <w:rPr>
          <w:sz w:val="20"/>
          <w:szCs w:val="20"/>
          <w:color w:val="auto"/>
        </w:rPr>
      </w:pPr>
    </w:p>
    <w:p>
      <w:pPr>
        <w:ind w:right="140"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Kailera Therapeutics, Inc. The Corporation was incorporated under the name Hercules CM Newco, Inc. by the filing of its original Certificate of Incorporation with the Secretary of State of the State of Delaware on May 8, 2024.</w:t>
      </w:r>
    </w:p>
    <w:p>
      <w:pPr>
        <w:spacing w:after="0" w:line="161" w:lineRule="exact"/>
        <w:rPr>
          <w:rFonts w:ascii="Times New Roman" w:cs="Times New Roman" w:eastAsia="Times New Roman" w:hAnsi="Times New Roman"/>
          <w:sz w:val="18"/>
          <w:szCs w:val="18"/>
          <w:color w:val="auto"/>
        </w:rPr>
      </w:pPr>
    </w:p>
    <w:p>
      <w:pPr>
        <w:ind w:right="160" w:firstLine="436"/>
        <w:spacing w:after="0" w:line="261"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Restated Certificate of Incorporation (the “</w:t>
      </w:r>
      <w:r>
        <w:rPr>
          <w:rFonts w:ascii="Times New Roman" w:cs="Times New Roman" w:eastAsia="Times New Roman" w:hAnsi="Times New Roman"/>
          <w:sz w:val="18"/>
          <w:szCs w:val="18"/>
          <w:u w:val="single" w:color="auto"/>
          <w:color w:val="auto"/>
        </w:rPr>
        <w:t>Restated Certificate</w:t>
      </w:r>
      <w:r>
        <w:rPr>
          <w:rFonts w:ascii="Times New Roman" w:cs="Times New Roman" w:eastAsia="Times New Roman" w:hAnsi="Times New Roman"/>
          <w:sz w:val="18"/>
          <w:szCs w:val="18"/>
          <w:color w:val="auto"/>
        </w:rPr>
        <w:t>”), which amends, restates and further integrates the certificate of incorporation of the Corporation as heretofore in effect, has been approved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in accordance with Sections 242 and 245 of the DGCL, and has been adopted by the written consent of the stockholders of the Corporation in accordance with Section 228 of the DGCL.</w:t>
      </w:r>
    </w:p>
    <w:p>
      <w:pPr>
        <w:spacing w:after="0" w:line="179" w:lineRule="exact"/>
        <w:rPr>
          <w:rFonts w:ascii="Times New Roman" w:cs="Times New Roman" w:eastAsia="Times New Roman" w:hAnsi="Times New Roman"/>
          <w:sz w:val="18"/>
          <w:szCs w:val="18"/>
          <w:color w:val="auto"/>
        </w:rPr>
      </w:pPr>
    </w:p>
    <w:p>
      <w:pPr>
        <w:ind w:right="740"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text of the certificate of incorporation of the Corporation, as heretofore amended, is hereby amended and restated by this Restated Certificate to read in its entirety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Kailera Therapeutics, Inc. has caused this Restated Certificate to be signed by a duly authorized officer of the Corporation, on April 20, 2026.</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Kailera Therapeutics, Inc., </w:t>
      </w:r>
      <w:r>
        <w:rPr>
          <w:rFonts w:ascii="Times New Roman" w:cs="Times New Roman" w:eastAsia="Times New Roman" w:hAnsi="Times New Roman"/>
          <w:sz w:val="18"/>
          <w:szCs w:val="18"/>
          <w:color w:val="auto"/>
        </w:rPr>
        <w:t>a Delaware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Ronald C. Renaud,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Ronald C. Renaud, Jr.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117" w:right="439" w:bottom="1440" w:gutter="0" w:footer="0" w:header="0"/>
        </w:sectPr>
      </w:pPr>
    </w:p>
    <w:bookmarkStart w:id="5" w:name="page6"/>
    <w:bookmarkEnd w:id="5"/>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Kailera Therapeutics,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in the City of Wilmington, County of New Castle, 19801, and the name of its registered agent at such address is The Corporation Trust Company.</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it now exists or may hereafter be amended and supplemented.</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total number of shares of capital stock which the Corporation shall have authority to issue is 810,000,000. The total number of shares of Common Stock that the Corporation is authorized to issue is 800,000,000, having a par value of $0.00001 per share, and the total number of shares of Preferred Stock that the Corporation is authorized to issue is 10,000,000, having a par value of $0.00001 per share.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designations and the powers, privileges and rights, and the qualifications, limitations or restrictions thereof in respect of each class of capital stock of the Corporation are as follows: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66" w:lineRule="auto"/>
        <w:tabs>
          <w:tab w:leader="none" w:pos="11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outstanding from time to time.</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1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Restated Certificate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Restated Certificate (including any Certificate of Designation) or pursuant to the DGCL. There shall be no cumulative voting.</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6" w:name="page7"/>
    <w:bookmarkEnd w:id="6"/>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rights of any holders of any outstanding series of Preferred Stock, the number of authorized shares of Common Stock may be increased or decreased (but not below the number of shares thereof then outstanding) by the requisite vote of the stockholders entitled to vote thereon, voting as a single class, irrespective of the provisions of Section 242(b)(2) of the DGCL.</w:t>
      </w:r>
    </w:p>
    <w:p>
      <w:pPr>
        <w:spacing w:after="0" w:line="176" w:lineRule="exact"/>
        <w:rPr>
          <w:sz w:val="20"/>
          <w:szCs w:val="20"/>
          <w:color w:val="auto"/>
        </w:rPr>
      </w:pPr>
    </w:p>
    <w:p>
      <w:pPr>
        <w:ind w:right="320" w:firstLine="987"/>
        <w:spacing w:after="0" w:line="266" w:lineRule="auto"/>
        <w:tabs>
          <w:tab w:leader="none" w:pos="117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17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 number of shares of Common Stock held by each such holder.</w:t>
      </w:r>
    </w:p>
    <w:p>
      <w:pPr>
        <w:spacing w:after="0" w:line="179"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Restated Certificate (including any Certificate of Designation). Except as otherwise required by law, holders of any series of Preferred Stock shall be entitled only to such voting rights, if any, as shall expressly be granted thereto by this Restated Certificate (including any Certificate of Designation).</w:t>
      </w:r>
    </w:p>
    <w:p>
      <w:pPr>
        <w:spacing w:after="0" w:line="19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number of authorized shares of Preferred Stock may be increased or decreased (but not below the number of shares thereof then outstanding) by the requisite vote of the stockholders of the Corporation entitled to vote thereon, voting as a single class, irrespective of the provisions of Section 242(b)(2) of the DGCL, unless a separate vote of any such holders is required pursuant to the terms of any Certificate of Designation.</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it is further provided that:</w:t>
      </w:r>
    </w:p>
    <w:p>
      <w:pPr>
        <w:spacing w:after="0" w:line="11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A. 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Each class shall consist, as nearly as may be possible, of one-third of the total number of directors constituting the entire Board of Directors. The initial Class I directors shall serve for a term expiring at the first annual meeting of stockholders following the initial registration of the Corporation’s Common Stock pursuant to the Securities Exchange Act of 1934, as amended; the initial Class II directors shall serve for a term expiring at the second annual meeting of stockholders following such registration; and the initial Class III directors shall serve for a term expiring at the third annual meeting of stockholders following such registration. At each annual meeting of stockholders of the Corporation beginning with the first annual meeting</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70" w:right="53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stockholders following the initial registration, subject to any special rights of the holders of one or more outstanding series of Preferred Stock to elect directors,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No decrease in the number of directors shall shorten the term of any incumbent director. The Board of Directors is authorized to designate members of the Board of Directors already in office as Class I, Class II and Class III.</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B. Except as otherwise expressly provided by the DGCL or this Restated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C. 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two-thirds of the voting power of all of the then outstanding shares of voting stock of the Corporation entitled to vote at an election of directors.</w:t>
      </w:r>
    </w:p>
    <w:p>
      <w:pPr>
        <w:spacing w:after="0" w:line="17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Notwithstanding anything to the contrary in this Article VI, the number of directors that may be elected by the holders of any such series of Preferred Stock shall be in addition to the number fixed pursuant to paragraph B of this Article VI,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9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F. In furtherance and not in limitation of the powers conferred by statute, the Board of Directors is expressly authorized to adopt, amend or repeal Bylaws of the Corporation (as amended and/or restated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 The directors of the Corporation need not be elected by written ballot unless the Bylaws so provide.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Any action required or permitted to be taken by the stockholders of the Corporation must be effected at an annual or special meeting of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9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B. Subject to the special rights of the holders of one or more series of Preferred Stock, special meetings of stockholders of the Corporation may be called, for any purpose or purposes, at any time only by or at the direction of the Board of Directors, the Chairperson of the Board of Directors, the Chief Executive Officer or, in the absence of a Chief Executive Officer, the President, and shall not be called by any other person or persons.</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C. Advance notice of stockholder nominations for the election of directors and of other business proposed to be brought by stockholders before any meeting of stockholders of the Corporation shall be given in the manner provided in the Bylaws of the Corporation.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the Restated Certificate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Unless the Corporation consents in writing to the selection of an alternative forum, (a) the Court of Chancery (the “</w:t>
      </w:r>
      <w:r>
        <w:rPr>
          <w:rFonts w:ascii="Times New Roman" w:cs="Times New Roman" w:eastAsia="Times New Roman" w:hAnsi="Times New Roman"/>
          <w:sz w:val="17"/>
          <w:szCs w:val="17"/>
          <w:u w:val="single" w:color="auto"/>
          <w:color w:val="auto"/>
        </w:rPr>
        <w:t>Chancery Court</w:t>
      </w:r>
      <w:r>
        <w:rPr>
          <w:rFonts w:ascii="Times New Roman" w:cs="Times New Roman" w:eastAsia="Times New Roman" w:hAnsi="Times New Roman"/>
          <w:sz w:val="17"/>
          <w:szCs w:val="17"/>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of the Corporation or this Restated Certificate (as either may be amended from time to time) or (iv) any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9" w:name="page10"/>
    <w:bookmarkEnd w:id="9"/>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 suit or proceeding asserting a claim against the Corporation governed by the internal affairs doctrine; and (b) subject to the preceding provisions of this Article X,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9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security of the Corporation shall be deemed to have notice of and consented to this Article X. This Article X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spacing w:after="0" w:line="18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right="420" w:firstLine="440"/>
        <w:spacing w:after="0" w:line="258" w:lineRule="auto"/>
        <w:rPr>
          <w:sz w:val="20"/>
          <w:szCs w:val="20"/>
          <w:color w:val="auto"/>
        </w:rPr>
      </w:pPr>
      <w:r>
        <w:rPr>
          <w:rFonts w:ascii="Times New Roman" w:cs="Times New Roman" w:eastAsia="Times New Roman" w:hAnsi="Times New Roman"/>
          <w:sz w:val="18"/>
          <w:szCs w:val="18"/>
          <w:color w:val="auto"/>
        </w:rPr>
        <w:t>A. Notwithstanding anything contained in this Restated Certificate to the contrary, in addition to any vote required by applicable law, the following provisions in this Restated Certificate may be amended, altered, repealed or rescinded, in whole or in part, or any provision inconsistent therewith or herewith may be adopted, only by the affirmative vote of the holders of at least two-thirds of the total voting power of all the then outstanding shares of stock of the Corporation entitled to vote thereon, voting together as a single class: Part B of Article V, Article VI, Article VII, Article VIII, Article IX, Article X, and this Article XI.</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B. If any provision or provisions of this Restated Certificate shall be held to be invalid, illegal or unenforceable as applied to any circumstance for any reason whatsoever: (i) the validity, legality and enforceability of such provisions in any other circumstance and of the remaining provisions of this Restated Certificate (including, without limitation, each portion of any paragraph of this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Restated Certificate (including, without limitation, each such portion of any paragraph of this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Amended and Restated Bylaws of</w:t>
      </w:r>
    </w:p>
    <w:p>
      <w:pPr>
        <w:spacing w:after="0" w:line="23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Kailera Therapeutics,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As of April 20, 2026</w:t>
      </w:r>
    </w:p>
    <w:p>
      <w:pPr>
        <w:sectPr>
          <w:pgSz w:w="11900" w:h="16838" w:orient="portrait"/>
          <w:cols w:equalWidth="0" w:num="1">
            <w:col w:w="10020"/>
          </w:cols>
          <w:pgMar w:left="1440" w:top="117"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100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600" w:type="dxa"/>
            <w:vAlign w:val="bottom"/>
          </w:tcPr>
          <w:p>
            <w:pPr>
              <w:spacing w:after="0"/>
              <w:rPr>
                <w:sz w:val="24"/>
                <w:szCs w:val="24"/>
                <w:color w:val="auto"/>
              </w:rPr>
            </w:pPr>
          </w:p>
        </w:tc>
        <w:tc>
          <w:tcPr>
            <w:tcW w:w="10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1.1</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Office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1.2</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Offices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2.1</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 of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2.2</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Meeting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2.3</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Meeting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2.4</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Business to be Brought before a Meeting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2.5</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Nominations for Election to the Board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2.6</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Requirements for Valid Nomination of Candidates to Serve as Director and, if Elected, to be Seated as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2.7</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2.8 Quorum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2.9</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Adjourned Meeting; Notice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2.10 Conduct of 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2.11 Voting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2.12 Record Date for Stockholder Meetings and Other Purposes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2.13 Proxies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2.14 List of Stockholders Entitled to Vote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2.15 Inspectors of Election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2.16 Delivery to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3.1</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3.2</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3.3</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3.4</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3.5</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3.6</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3.7</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Meetings; Notice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3.8 Quorum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3.9</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Action without a Meeting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3.10 Fees and Compensation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4.1</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Committees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4.2</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Committee Minutes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4.3</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4.4</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Subcommittees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5.1</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5.2</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Appointment of 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5.3</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 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5.4</w:t>
            </w: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5.5</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Vacancies in Offices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5.6</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5.7</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5.8</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Records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General Matters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7.1</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7.2</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Certificates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7.3</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7.4</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Lost Certificates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7.5</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7.6</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Definitions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7.7</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7.8</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7.9</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Seal</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7.10 Transfer of Stock</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7.11 Stock Transfer Agreements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7.12 Registered Stockholders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7.13 Waiver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8.1</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Indemnification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9.1</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9.2</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9.3</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of Expenses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9.4</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Determination; Claim</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9.5</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Non-Exclusivity of Rights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9.6</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9.7</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Indemnification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9.8</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Continuation of Indemnification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9.9</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or Repeal; Interpretation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Article XI - Definitions</w:t>
            </w:r>
          </w:p>
        </w:tc>
        <w:tc>
          <w:tcPr>
            <w:tcW w:w="7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65"/>
        </w:trPr>
        <w:tc>
          <w:tcPr>
            <w:tcW w:w="3620" w:type="dxa"/>
            <w:vAlign w:val="bottom"/>
          </w:tcPr>
          <w:p>
            <w:pPr>
              <w:spacing w:after="0"/>
              <w:rPr>
                <w:sz w:val="24"/>
                <w:szCs w:val="24"/>
                <w:color w:val="auto"/>
              </w:rPr>
            </w:pPr>
          </w:p>
        </w:tc>
        <w:tc>
          <w:tcPr>
            <w:tcW w:w="734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0960"/>
          </w:cols>
          <w:pgMar w:left="440" w:top="270" w:right="499" w:bottom="1440" w:gutter="0" w:footer="0" w:header="0"/>
        </w:sectPr>
      </w:pPr>
    </w:p>
    <w:bookmarkStart w:id="13" w:name="page14"/>
    <w:bookmarkEnd w:id="13"/>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Bylaws</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Kailera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Kailera Therapeutics,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Board shall designate the date and time of the annual meeting of stockholders. At the annual meeting of stockholders, directors shall be elected and other proper business properly brought before the meeting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these Bylaws may be transacted. The Board may postpone, reschedule or cancel any previously scheduled annual meeting of stockholders.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Special meetings of stockholders may be called only by such persons and only in such manner as set forth in the Certificate of Incorporation.</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 The Board may postpone, reschedule or cancel any previously scheduled special meeting of stockholders.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Notice of Business to be Brought before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76" w:lineRule="auto"/>
        <w:tabs>
          <w:tab w:leader="none" w:pos="689"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w:t>
      </w:r>
    </w:p>
    <w:p>
      <w:pPr>
        <w:ind w:left="4" w:hanging="4"/>
        <w:spacing w:after="0" w:line="253"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not specified in a notice of meeting, otherwise brought before the meeting by or at the direction of the Board of Directors or the Chairperson of the Board or (iii) otherwise properly brought before the meeting by a stockholder present in person who (A) (1) was a record owner of shares of capital stock of the Corporation both at the time of giving the notice provided for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at the time of the meeting, (2) is entitled to vote at the meeting, and (3) has</w:t>
      </w:r>
    </w:p>
    <w:p>
      <w:pPr>
        <w:sectPr>
          <w:pgSz w:w="11900" w:h="16838" w:orient="portrait"/>
          <w:cols w:equalWidth="0" w:num="1">
            <w:col w:w="10984"/>
          </w:cols>
          <w:pgMar w:left="436" w:top="266" w:right="479" w:bottom="1440" w:gutter="0" w:footer="0" w:header="0"/>
        </w:sectPr>
      </w:pPr>
    </w:p>
    <w:bookmarkStart w:id="14" w:name="page15"/>
    <w:bookmarkEnd w:id="14"/>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complied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stockholders shall not be permitted to propose business to be brought before a special meeting of the stockholders. 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“present in person” shall mean that the stockholder proposing that the business be brought before the annual meeting of the Corporation, or a qualified representative of such proposing stockholder, appear at such annual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of Directors must comply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be applicable to nominations except as expressly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40" w:firstLine="436"/>
        <w:spacing w:after="0" w:line="234" w:lineRule="auto"/>
        <w:tabs>
          <w:tab w:leader="none" w:pos="6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be timely, a stockholder’s notice must be delivered to, or mailed and received at, the principal executive offices of the Corporation not less than ninety (90) days nor more than one hundred twenty (120) days prior to the first anniversary of the preceding year’s annual meeting which, in the case of the first annual meeting of stockholders following the closing of the Corporation’s initial underwritten public offering of common stock, the date of the preceding year’s annual meeting shall be deemed to be May 30, 2026;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date of the annual meeting is more than thirty (30) days before or more than sixty (60) days after such anniversary date, notice by the stockholder to be timely must be so delivered, or mailed and received, not more than the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and not later than (i)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or, (ii) if later,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206"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in proper form 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stockholder’s notice to the Secretary shall set forth:</w:t>
      </w:r>
    </w:p>
    <w:p>
      <w:pPr>
        <w:spacing w:after="0" w:line="117" w:lineRule="exact"/>
        <w:rPr>
          <w:sz w:val="20"/>
          <w:szCs w:val="20"/>
          <w:color w:val="auto"/>
        </w:rPr>
      </w:pPr>
    </w:p>
    <w:p>
      <w:pPr>
        <w:ind w:left="4" w:right="100" w:firstLine="436"/>
        <w:spacing w:after="0" w:line="269" w:lineRule="auto"/>
        <w:tabs>
          <w:tab w:leader="none" w:pos="65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w:t>
      </w:r>
    </w:p>
    <w:p>
      <w:pPr>
        <w:spacing w:after="0" w:line="2" w:lineRule="exact"/>
        <w:rPr>
          <w:rFonts w:ascii="Times New Roman" w:cs="Times New Roman" w:eastAsia="Times New Roman" w:hAnsi="Times New Roman"/>
          <w:sz w:val="17"/>
          <w:szCs w:val="17"/>
          <w:color w:val="auto"/>
        </w:rPr>
      </w:pPr>
    </w:p>
    <w:p>
      <w:pPr>
        <w:ind w:left="4" w:hanging="4"/>
        <w:spacing w:after="0" w:line="260" w:lineRule="auto"/>
        <w:tabs>
          <w:tab w:leader="none" w:pos="2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intent of such acquisition 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70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capital stock of the Corporation (“</w:t>
      </w:r>
      <w:r>
        <w:rPr>
          <w:rFonts w:ascii="Times New Roman" w:cs="Times New Roman" w:eastAsia="Times New Roman" w:hAnsi="Times New Roman"/>
          <w:sz w:val="18"/>
          <w:szCs w:val="18"/>
          <w:u w:val="single" w:color="auto"/>
          <w:color w:val="auto"/>
        </w:rPr>
        <w:t>Synthetic Equity Position</w:t>
      </w:r>
      <w:r>
        <w:rPr>
          <w:rFonts w:ascii="Times New Roman" w:cs="Times New Roman" w:eastAsia="Times New Roman" w:hAnsi="Times New Roman"/>
          <w:sz w:val="18"/>
          <w:szCs w:val="18"/>
          <w:color w:val="auto"/>
        </w:rPr>
        <w:t>”) that is, directly or indirectly, held or maintained by, held for the benefit of, or involving such Proposing Person, including, without limitation, (1) 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 (2) any derivative or synthetic arrangement having the characteristics of a</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5" w:name="page16"/>
    <w:bookmarkEnd w:id="1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long position or a short position in any class or series of shares of capital stock of the Corporation, including, without limitation, a stock loan transaction, a stock borrow transaction, or a share repurchase transaction or (3) any contract, derivative, swap or other transaction or series of transactions designed to (x) produce economic benefits and risks that correspond substantially to the ownership of any class or series of shares of capital stock of the Corporation, (y) mitigate any loss relating to, reduce the economic risk (of ownership or otherwise) of, or manage the risk of share price decrease in, any class or series of shares of capital stock of the Corporation, or (z) increase or decrease the voting power in respect of any class or series of shares of capital stock of the Corporation held or maintained by, held for the benefit of, or involving such Proposing Person, 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the definition of “</w:t>
      </w:r>
      <w:r>
        <w:rPr>
          <w:rFonts w:ascii="Times New Roman" w:cs="Times New Roman" w:eastAsia="Times New Roman" w:hAnsi="Times New Roman"/>
          <w:sz w:val="18"/>
          <w:szCs w:val="18"/>
          <w:u w:val="single" w:color="auto"/>
          <w:color w:val="auto"/>
        </w:rPr>
        <w:t>Synthetic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Equity Position</w:t>
      </w:r>
      <w:r>
        <w:rPr>
          <w:rFonts w:ascii="Times New Roman" w:cs="Times New Roman" w:eastAsia="Times New Roman" w:hAnsi="Times New Roman"/>
          <w:sz w:val="18"/>
          <w:szCs w:val="18"/>
          <w:color w:val="auto"/>
        </w:rPr>
        <w:t xml:space="preserve">,”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underly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 description of any agreement, arrangement or understanding with respect to any rights to dividends on the shares of any class or series of shares of capital stock of the Corporation owned beneficially by such Proposing Person that are separated or separable pursuant to such agreement, arrangement or understanding from the underlying shares of capital stock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or votes from stockholders in support of such proposal and (H)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Times New Roman" w:cs="Times New Roman" w:eastAsia="Times New Roman" w:hAnsi="Times New Roman"/>
          <w:sz w:val="18"/>
          <w:szCs w:val="18"/>
          <w:u w:val="single" w:color="auto"/>
          <w:color w:val="auto"/>
        </w:rPr>
        <w:t>Disclosable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 broker, dealer,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bank, trust company or other nominee who is a Proposing Person solely as a result of being the stockholder directed to prepare and submit the notice required by these Bylaws on behalf of a beneficial owner; and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6" w:name="page17"/>
    <w:bookmarkEnd w:id="16"/>
    <w:p>
      <w:pPr>
        <w:ind w:right="20" w:firstLine="436"/>
        <w:spacing w:after="0" w:line="253" w:lineRule="auto"/>
        <w:tabs>
          <w:tab w:leader="none" w:pos="7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capital stock of the Corporation or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9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80" w:lineRule="exact"/>
        <w:rPr>
          <w:sz w:val="20"/>
          <w:szCs w:val="20"/>
          <w:color w:val="auto"/>
        </w:rPr>
      </w:pPr>
    </w:p>
    <w:p>
      <w:pPr>
        <w:jc w:val="both"/>
        <w:ind w:firstLine="436"/>
        <w:spacing w:after="0" w:line="312" w:lineRule="auto"/>
        <w:tabs>
          <w:tab w:leader="none" w:pos="6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may request that any Proposing Person furnish such additional information as may be reasonably required by the Board of Directors. Such Proposing Person shall provide such additional information within ten (10) days after it has been requested by the Board of Directors.</w:t>
      </w:r>
    </w:p>
    <w:p>
      <w:pPr>
        <w:spacing w:after="0" w:line="139"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92" w:lineRule="exact"/>
        <w:rPr>
          <w:rFonts w:ascii="Times New Roman" w:cs="Times New Roman" w:eastAsia="Times New Roman" w:hAnsi="Times New Roman"/>
          <w:sz w:val="18"/>
          <w:szCs w:val="18"/>
          <w:color w:val="auto"/>
        </w:rPr>
      </w:pPr>
    </w:p>
    <w:p>
      <w:pPr>
        <w:ind w:right="20" w:firstLine="436"/>
        <w:spacing w:after="0" w:line="258" w:lineRule="auto"/>
        <w:tabs>
          <w:tab w:leader="none" w:pos="6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no business shall be conducted at an annual meeting that is not properly brought before the meeting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presiding officer of the meeting (or, in advance of any meeting of stockholders, the Board of Directors or an authorized committee thereof) shall, if the facts warrant, determine that the business was not properly brought before the meeting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and if he or she should so determine, he or she shall so declare to the meeting and any such business not properly brought before the meeting shall not be transacted.</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deemed to affect the rights of stockholders to request inclusion of proposals in the Corporation’s proxy statement pursuant to Rule 14a-8 under the Exchange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7" w:name="page18"/>
    <w:bookmarkEnd w:id="17"/>
    <w:p>
      <w:pPr>
        <w:ind w:firstLine="436"/>
        <w:spacing w:after="0" w:line="282"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these Bylaws,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Notice of Nominations for Election to the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3"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who (A) was a record owner of shares of capital stock of the Corporation both at the time of giving the notice provided for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at the time of the meeting, (B) is entitled to vote at the meeting, and (C) has complied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as to such notice and nomination.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“present in person” shall mean that the stockholder nominating any person for election to the Board of Directors at the meeting of the Corporation, or a qualified representative of such stockholder, appear at such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The foregoing clause (ii) shall be the exclusive means for a stockholder to make any nomination of a person or persons for election to the Board of Directors at an annual meeting or special meeting.</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Without qualification, for a stockholder to make any nomination of a person or persons for election to the Board of Directors at an annual meeting, the stockholder must (1) provide Timely Notice (as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thereof in writing and in proper form to the Secretary of the Corporation, (2) provide the information, agreements and questionnaires with respect to each Nominating Person (as defined below) and its candidate for nomination as required to be set forth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(3)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436"/>
        <w:spacing w:after="0" w:line="230"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of the Corporation at the principal executive offices of the Corporation, (B) provide the information with respect to each Nominating Person and its candidate for nomination as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(C)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To be timely, a stockholder’s notice for nominations to be made at a special meeting must be delivered to, or mailed and received at, the principal executive offices of the Corporation not earlier than the one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special meeting and not later than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special meeting or, if later,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public disclosure (as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of the date of such special meeting was first made (such notice within such time periods, “</w:t>
      </w:r>
      <w:r>
        <w:rPr>
          <w:rFonts w:ascii="Times New Roman" w:cs="Times New Roman" w:eastAsia="Times New Roman" w:hAnsi="Times New Roman"/>
          <w:sz w:val="18"/>
          <w:szCs w:val="18"/>
          <w:u w:val="single" w:color="auto"/>
          <w:color w:val="auto"/>
        </w:rPr>
        <w:t>Special Meeting Timely Notice</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right="220" w:firstLine="436"/>
        <w:spacing w:after="0" w:line="282" w:lineRule="auto"/>
        <w:tabs>
          <w:tab w:leader="none" w:pos="7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61" w:lineRule="exact"/>
        <w:rPr>
          <w:rFonts w:ascii="Times New Roman" w:cs="Times New Roman" w:eastAsia="Times New Roman" w:hAnsi="Times New Roman"/>
          <w:sz w:val="18"/>
          <w:szCs w:val="18"/>
          <w:color w:val="auto"/>
        </w:rPr>
      </w:pPr>
    </w:p>
    <w:p>
      <w:pPr>
        <w:ind w:right="20" w:firstLine="436"/>
        <w:spacing w:after="0" w:line="258" w:lineRule="auto"/>
        <w:tabs>
          <w:tab w:leader="none" w:pos="7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may a Nominating Person deliver a notice of nomination, as applicable,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or Special Meeting Timely Notice, as applicable, or (ii) the tenth day following the date of public disclosure (as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of such increase.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To be in proper form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 stockholder’s notice to the Secretary shall set forth:</w:t>
      </w:r>
    </w:p>
    <w:p>
      <w:pPr>
        <w:spacing w:after="0" w:line="117" w:lineRule="exact"/>
        <w:rPr>
          <w:sz w:val="20"/>
          <w:szCs w:val="20"/>
          <w:color w:val="auto"/>
        </w:rPr>
      </w:pPr>
    </w:p>
    <w:p>
      <w:pPr>
        <w:ind w:right="320" w:firstLine="436"/>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Nominating Person, the Stockholder Information (as defined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 xml:space="preserve">, except that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be substituted for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in all places it appears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80" w:firstLine="436"/>
        <w:spacing w:after="0" w:line="255" w:lineRule="auto"/>
        <w:tabs>
          <w:tab w:leader="none" w:pos="7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Nominating Person, any Disclosable Interests (as defined in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xml:space="preserve">, except that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be substituted for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in all places it appears in </w:t>
      </w:r>
      <w:r>
        <w:rPr>
          <w:rFonts w:ascii="Times New Roman" w:cs="Times New Roman" w:eastAsia="Times New Roman" w:hAnsi="Times New Roman"/>
          <w:sz w:val="18"/>
          <w:szCs w:val="18"/>
          <w:u w:val="single" w:color="auto"/>
          <w:color w:val="auto"/>
        </w:rPr>
        <w:t>Section 2.3(c)(ii)</w:t>
      </w:r>
      <w:r>
        <w:rPr>
          <w:rFonts w:ascii="Times New Roman" w:cs="Times New Roman" w:eastAsia="Times New Roman" w:hAnsi="Times New Roman"/>
          <w:sz w:val="18"/>
          <w:szCs w:val="18"/>
          <w:color w:val="auto"/>
        </w:rPr>
        <w:t xml:space="preserve"> and the disclosure with respect to the business to be brought before the meeting in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xml:space="preserve"> shall be made with respect to the nomination proposed to be made at the meeting);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lieu of including the information set forth in </w:t>
      </w:r>
      <w:r>
        <w:rPr>
          <w:rFonts w:ascii="Times New Roman" w:cs="Times New Roman" w:eastAsia="Times New Roman" w:hAnsi="Times New Roman"/>
          <w:sz w:val="18"/>
          <w:szCs w:val="18"/>
          <w:u w:val="single" w:color="auto"/>
          <w:color w:val="auto"/>
        </w:rPr>
        <w:t>Section 2.4(c)(ii)(G)</w:t>
      </w:r>
      <w:r>
        <w:rPr>
          <w:rFonts w:ascii="Times New Roman" w:cs="Times New Roman" w:eastAsia="Times New Roman" w:hAnsi="Times New Roman"/>
          <w:sz w:val="18"/>
          <w:szCs w:val="18"/>
          <w:color w:val="auto"/>
        </w:rPr>
        <w:t xml:space="preserve">, the Nominating Person’s notice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include a representation as to whether the Nominating Person intends or is part of a group that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spacing w:after="0" w:line="188" w:lineRule="exact"/>
        <w:rPr>
          <w:rFonts w:ascii="Times New Roman" w:cs="Times New Roman" w:eastAsia="Times New Roman" w:hAnsi="Times New Roman"/>
          <w:sz w:val="18"/>
          <w:szCs w:val="18"/>
          <w:color w:val="auto"/>
        </w:rPr>
      </w:pPr>
    </w:p>
    <w:p>
      <w:pPr>
        <w:ind w:firstLine="436"/>
        <w:spacing w:after="0" w:line="253" w:lineRule="auto"/>
        <w:tabs>
          <w:tab w:leader="none" w:pos="7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and (B) are referred to as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and (C) a completed and signed questionnaire, representation and agreement as provided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180" w:lineRule="exact"/>
        <w:rPr>
          <w:sz w:val="20"/>
          <w:szCs w:val="20"/>
          <w:color w:val="auto"/>
        </w:rPr>
      </w:pPr>
    </w:p>
    <w:p>
      <w:pPr>
        <w:ind w:right="160" w:firstLine="436"/>
        <w:spacing w:after="0" w:line="266"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request that any Nominating Person furnish such additional information as may be reasonably required by the Board of Directors. Such Nominating Person shall provide such additional information within ten (10) days after it has been requested by the Board of Directors.</w:t>
      </w:r>
    </w:p>
    <w:p>
      <w:pPr>
        <w:spacing w:after="0" w:line="175"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stockholder providing notice of any nomination proposed to be made at a meeting shall further update and supplement such notice or the materials delivered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as applicable,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9" w:name="page20"/>
    <w:bookmarkEnd w:id="19"/>
    <w:p>
      <w:pPr>
        <w:ind w:right="60" w:firstLine="436"/>
        <w:spacing w:after="0" w:line="267" w:lineRule="auto"/>
        <w:tabs>
          <w:tab w:leader="none" w:pos="66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to the requirements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with respect to any nomination proposed to be made at a meeting, each Nominating Person shall comply with all applicable requirements of the Exchange Act with respect to any such nominations. Notwithstanding the foregoing provisions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unless otherwise required by law, (i)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or by Rule 14a-19 promulgated under the Exchange Act, as applicable, and (ii) if (1) any Nominating Person provides notice in accordance with Rule 14a-19(b) promulgated under the Exchange Act and (2) (x)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w:t>
      </w:r>
    </w:p>
    <w:p>
      <w:pPr>
        <w:spacing w:after="0" w:line="3" w:lineRule="exact"/>
        <w:rPr>
          <w:rFonts w:ascii="Times New Roman" w:cs="Times New Roman" w:eastAsia="Times New Roman" w:hAnsi="Times New Roman"/>
          <w:sz w:val="17"/>
          <w:szCs w:val="17"/>
          <w:color w:val="auto"/>
        </w:rPr>
      </w:pPr>
    </w:p>
    <w:p>
      <w:pPr>
        <w:ind w:righ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Additional Requirements for Valid Nomination of Candidates to Serve as Director and, if Elected, to be Seated as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8" w:lineRule="auto"/>
        <w:tabs>
          <w:tab w:leader="none" w:pos="68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be eligible to be a candidate for election as a director of the Corporation at an annual or special meeting, a candidate must be nominated in the manner prescribed in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the candidate for nomination, whether nominated by the Board of Directors or by a stockholder of record, must have previously delivered, to the Secretary at the principal executive offices of the Corporation, (i) a completed written questionnaire (in the form provided by the Corporation within ten (10) days upon written request of any stockholder of record therefor) with respect to the background, qualifications, stock ownership and independence of such proposed nominee and (ii) a written representation and agreement (in the form provided by the Corporation within ten (10) days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7"/>
          <w:szCs w:val="17"/>
          <w:u w:val="single" w:color="auto"/>
          <w:color w:val="auto"/>
        </w:rPr>
        <w:t>Voting Commitment</w:t>
      </w:r>
      <w:r>
        <w:rPr>
          <w:rFonts w:ascii="Times New Roman" w:cs="Times New Roman" w:eastAsia="Times New Roman" w:hAnsi="Times New Roman"/>
          <w:sz w:val="17"/>
          <w:szCs w:val="17"/>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a director of the Corporation, intends to serve the entire term until the next meeting at which such candidate would face re-election.</w:t>
      </w:r>
    </w:p>
    <w:p>
      <w:pPr>
        <w:spacing w:after="0" w:line="179" w:lineRule="exact"/>
        <w:rPr>
          <w:rFonts w:ascii="Times New Roman" w:cs="Times New Roman" w:eastAsia="Times New Roman" w:hAnsi="Times New Roman"/>
          <w:sz w:val="17"/>
          <w:szCs w:val="17"/>
          <w:color w:val="auto"/>
        </w:rPr>
      </w:pPr>
    </w:p>
    <w:p>
      <w:pPr>
        <w:jc w:val="both"/>
        <w:ind w:right="80" w:firstLine="436"/>
        <w:spacing w:after="0" w:line="261"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also require any proposed candidate for nomination as a director to furnish such other information related to such candidate’s eligibility or qualification to serve as a director as may reasonably be requested by the Board of Directors in writing prior to the meeting of stockholders at which such candidate’s nomination is to be acted upon. Without limiting the generality of the foregoing, the Board of Directors may request such other information in order for the Board of Directors to determine the eligibility of such candidate for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0" w:name="page21"/>
    <w:bookmarkEnd w:id="20"/>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not later than five (5) business days after the request by the Board of Directors has been delivered to, or mailed and received by, the Nominating Person.</w:t>
      </w:r>
    </w:p>
    <w:p>
      <w:pPr>
        <w:spacing w:after="0" w:line="180" w:lineRule="exact"/>
        <w:rPr>
          <w:sz w:val="20"/>
          <w:szCs w:val="20"/>
          <w:color w:val="auto"/>
        </w:rPr>
      </w:pPr>
    </w:p>
    <w:p>
      <w:pPr>
        <w:ind w:firstLine="436"/>
        <w:spacing w:after="0" w:line="253"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candidate for nomination as a director shall further update and supplement the materials delivered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if necessary, so that the information provided or required to be provided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candidate nominated pursuant to </w:t>
      </w:r>
      <w:r>
        <w:rPr>
          <w:rFonts w:ascii="Times New Roman" w:cs="Times New Roman" w:eastAsia="Times New Roman" w:hAnsi="Times New Roman"/>
          <w:sz w:val="18"/>
          <w:szCs w:val="18"/>
          <w:u w:val="single" w:color="auto"/>
          <w:color w:val="auto"/>
        </w:rPr>
        <w:t>Section 2.5(a)(ii)</w:t>
      </w:r>
      <w:r>
        <w:rPr>
          <w:rFonts w:ascii="Times New Roman" w:cs="Times New Roman" w:eastAsia="Times New Roman" w:hAnsi="Times New Roman"/>
          <w:sz w:val="18"/>
          <w:szCs w:val="18"/>
          <w:color w:val="auto"/>
        </w:rPr>
        <w:t xml:space="preserve"> shall be eligible for nomination as a director of the Corporation unless such candidate for nomination and the Nominating Person seeking to place such candidate’s name in nomination has complied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as applicable. The presiding officer at the meeting shall, if the facts warrant, determine that a nomination was not properly made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87" w:lineRule="exact"/>
        <w:rPr>
          <w:rFonts w:ascii="Times New Roman" w:cs="Times New Roman" w:eastAsia="Times New Roman" w:hAnsi="Times New Roman"/>
          <w:sz w:val="18"/>
          <w:szCs w:val="18"/>
          <w:color w:val="auto"/>
        </w:rPr>
      </w:pPr>
    </w:p>
    <w:p>
      <w:pPr>
        <w:ind w:right="600" w:firstLine="436"/>
        <w:spacing w:after="0" w:line="282"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no candidate for nomination shall be eligible to be seated as a director of the Corporation unless nominated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elected as a director.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Notice of Stockholders’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Unless otherwise provided by law, the Certificate of Incorporation or these Bylaws, the notice of any meeting of stockholders shall be sent or otherwise given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of stockholders, the purpose or purposes for which such meeting is called.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a majority in voting power of the stock issued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outstanding and entitled to vote, present in person, or by remote communication, if applicable, or represented by proxy, shall constitute a quorum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of business at all meetings of stockholders. A quorum, once established at a meeting, shall not be broken by the withdrawal of enough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to leave less than a quorum. If, however, a quorum is not present or represented at any meeting of stockholders, then either (i) the person presiding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meeting or (ii) a majority in voting power of the stockholders entitled to vote at the meeting, present in person, or by remote communication,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or represented by proxy, shall have power to recess the meeting or adjourn the meeting from time to time in the manner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of these Bylaws until a quorum is present or represented. At any recessed or adjourned meeting at which a quorum is present or represented,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business may be transacted that might have been transacted at the meeting as originally noticed.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1" w:name="page22"/>
    <w:bookmarkEnd w:id="2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2.9 </w:t>
      </w:r>
      <w:r>
        <w:rPr>
          <w:rFonts w:ascii="Times New Roman" w:cs="Times New Roman" w:eastAsia="Times New Roman" w:hAnsi="Times New Roman"/>
          <w:sz w:val="18"/>
          <w:szCs w:val="18"/>
          <w:u w:val="single" w:color="auto"/>
          <w:color w:val="auto"/>
        </w:rPr>
        <w:t>Adjourned Meeting;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Conduct of Business.</w:t>
      </w:r>
    </w:p>
    <w:p>
      <w:pPr>
        <w:spacing w:after="0" w:line="22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w:t>
      </w:r>
    </w:p>
    <w:p>
      <w:pPr>
        <w:spacing w:after="0" w:line="5" w:lineRule="exact"/>
        <w:rPr>
          <w:sz w:val="20"/>
          <w:szCs w:val="20"/>
          <w:color w:val="auto"/>
        </w:rPr>
      </w:pPr>
    </w:p>
    <w:p>
      <w:pPr>
        <w:ind w:left="4" w:right="40" w:hanging="4"/>
        <w:spacing w:after="0" w:line="251" w:lineRule="auto"/>
        <w:tabs>
          <w:tab w:leader="none" w:pos="3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these Bylaws or the DGCL, each stockholder shall be entitled to one (1) vote for each share of capital stock held by such stockholder.</w:t>
      </w:r>
    </w:p>
    <w:p>
      <w:pPr>
        <w:spacing w:after="0" w:line="162"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2.12 </w:t>
      </w:r>
      <w:r>
        <w:rPr>
          <w:rFonts w:ascii="Times New Roman" w:cs="Times New Roman" w:eastAsia="Times New Roman" w:hAnsi="Times New Roman"/>
          <w:sz w:val="18"/>
          <w:szCs w:val="18"/>
          <w:u w:val="single" w:color="auto"/>
          <w:color w:val="auto"/>
        </w:rPr>
        <w:t>Record Date for Stockholder Meetings and Other Purposes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8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by the Board.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Corporation shall prepare, no later than the tenth day before each meeting of stockholders, a complete list of the stockholders entitled to vote at the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3" w:name="page24"/>
    <w:bookmarkEnd w:id="23"/>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to vote in person or by proxy at any meeting of stockholders.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117" w:lineRule="exact"/>
        <w:rPr>
          <w:sz w:val="20"/>
          <w:szCs w:val="20"/>
          <w:color w:val="auto"/>
        </w:rPr>
      </w:pPr>
    </w:p>
    <w:p>
      <w:pPr>
        <w:ind w:right="400" w:firstLine="987"/>
        <w:spacing w:after="0" w:line="282" w:lineRule="auto"/>
        <w:tabs>
          <w:tab w:leader="none" w:pos="12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161"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inspector(s); and</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5"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Delivery to the 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Whenever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Election, Qualification and Term of Office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Resignation and Vacancies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Place of Meetings; Meetings by Telephone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Special Meetings;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chairperson of the Board, the Chief Executive Officer, the President, the Secretary or a majority of the total number of directors constituting the Board.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5" w:name="page26"/>
    <w:bookmarkEnd w:id="2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the time and place of special meetings shall be:</w:t>
      </w:r>
    </w:p>
    <w:p>
      <w:pPr>
        <w:spacing w:after="0" w:line="117" w:lineRule="exact"/>
        <w:rPr>
          <w:sz w:val="20"/>
          <w:szCs w:val="20"/>
          <w:color w:val="auto"/>
        </w:rPr>
      </w:pPr>
    </w:p>
    <w:p>
      <w:pPr>
        <w:ind w:left="1204" w:hanging="213"/>
        <w:spacing w:after="0"/>
        <w:tabs>
          <w:tab w:leader="none" w:pos="1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22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225"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2" w:lineRule="exact"/>
        <w:rPr>
          <w:sz w:val="20"/>
          <w:szCs w:val="20"/>
          <w:color w:val="auto"/>
        </w:rPr>
      </w:pPr>
    </w:p>
    <w:p>
      <w:pPr>
        <w:jc w:val="both"/>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Board Action without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Fees and Compensation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Committees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spacing w:after="0" w:line="2" w:lineRule="exact"/>
        <w:rPr>
          <w:sz w:val="20"/>
          <w:szCs w:val="20"/>
          <w:color w:val="auto"/>
        </w:rPr>
      </w:pPr>
    </w:p>
    <w:p>
      <w:pPr>
        <w:ind w:left="4" w:right="560" w:hanging="4"/>
        <w:spacing w:after="0" w:line="260" w:lineRule="auto"/>
        <w:tabs>
          <w:tab w:leader="none" w:pos="2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adopt, or recommend to the stockholders, any action or matter expressly required by the DGCL to be submitted to stockholders for approval, or (ii) adopt, amend or repeal any Bylaw of the Corporation.</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Committee Minutes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Meetings and Actions of 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117" w:lineRule="exact"/>
        <w:rPr>
          <w:sz w:val="20"/>
          <w:szCs w:val="20"/>
          <w:color w:val="auto"/>
        </w:rPr>
      </w:pPr>
    </w:p>
    <w:p>
      <w:pPr>
        <w:ind w:left="1200" w:hanging="213"/>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(place of meetings; meetings by telephone);</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(regular meetings);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(special meetings; notice);</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(board action without a meeting); and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(waiver of notice),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700" w:hanging="264"/>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DELETE</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or the chairperson of the applicable committee; and</w:t>
      </w:r>
    </w:p>
    <w:p>
      <w:pPr>
        <w:spacing w:after="0" w:line="225" w:lineRule="exact"/>
        <w:rPr>
          <w:rFonts w:ascii="Times New Roman" w:cs="Times New Roman" w:eastAsia="Times New Roman" w:hAnsi="Times New Roman"/>
          <w:sz w:val="18"/>
          <w:szCs w:val="18"/>
          <w:color w:val="auto"/>
        </w:rPr>
      </w:pPr>
    </w:p>
    <w:p>
      <w:pPr>
        <w:ind w:right="540" w:firstLine="987"/>
        <w:spacing w:after="0" w:line="312" w:lineRule="auto"/>
        <w:tabs>
          <w:tab w:leader="none" w:pos="130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Board may adopt rules for the governance of any committee to override the provisions that would otherwise apply to the committee pursuant to this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rules do not violate the provisions of the Certificate of Incorporation or applicable law.</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Appointment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Board shall appoint the officers of the Corporation, except such officers as may be appointed in accordance with the provisions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these Bylaws.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Subordinate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Removal and Resignation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40"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Vacancies in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Any vacancy occurring in any office of the Corporation shall be filled by the Board or as provided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 - Records</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40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Article VII - General Matters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Execution of Corporate Contracts and Instruments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shares of the Corporation shall be represented by certificates,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Vice President, the Treasurer, any Assistant Treasurer, the Secretary or any Assistant Secretary of the Corporation, or the Chief Financial Officer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9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Special Designation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7.4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Except as provided in this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Shares Without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Construction;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7.11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w:t>
      </w:r>
    </w:p>
    <w:p>
      <w:pPr>
        <w:spacing w:after="0" w:line="117" w:lineRule="exact"/>
        <w:rPr>
          <w:sz w:val="20"/>
          <w:szCs w:val="20"/>
          <w:color w:val="auto"/>
        </w:rPr>
      </w:pPr>
    </w:p>
    <w:p>
      <w:pPr>
        <w:ind w:right="220" w:firstLine="436"/>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7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 Notice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Delivery of Notice; Notice by Electronic Transmission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given pursuant to the preceding paragraph shall be deemed given:</w:t>
      </w:r>
    </w:p>
    <w:p>
      <w:pPr>
        <w:spacing w:after="0" w:line="131" w:lineRule="exact"/>
        <w:rPr>
          <w:sz w:val="20"/>
          <w:szCs w:val="20"/>
          <w:color w:val="auto"/>
        </w:rPr>
      </w:pPr>
    </w:p>
    <w:p>
      <w:pPr>
        <w:ind w:left="1420" w:hanging="43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posting and (B) the giving of such separate notice; and</w:t>
      </w:r>
    </w:p>
    <w:p>
      <w:pPr>
        <w:spacing w:after="0" w:line="11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inadvertent failure to discover such inability shall not invalidate any meeting or other action.</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 Indemnification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xml:space="preserve">”),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the Corporation shall be required to indemnify a person in connection with a Proceeding initiated by such person only if the Proceeding was authorized in the specific case by the Board.</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Indemnification of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payment of expenses in advance of the final disposition of the Proceeding shall be made only upon receipt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undertaking by the person to repay all amounts advanced if it should be ultimately determined that the person is not entitled to be indemnified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Determination;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a claim for indemnification (following the final disposition of such Proceeding)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is not paid in full within sixty (60) days, or a claim for advancement of expenses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The rights conferred on any person by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not be exclusive of any other rights which such person may have or hereafter acquire under any statute, provision of the Certificate of Incorporation, these Bylaws, agreement, vote of stockholders or disinterested directors or otherwise.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Continuation of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rights to indemnification and to prepayment of expenses provided by, or granted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distributees of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Amendment or Repeal;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Corporation intends to be legally bound to each such current or former director or officer of the Corporation. With respect to current and former directors and officers of the Corporation, the rights conferred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3" w:name="page34"/>
    <w:bookmarkEnd w:id="33"/>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reference to an officer of the Corporation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deemed to refer exclusively to the Chief Executive Officer, Chief Financial Officer, President, and Secretary, or other officer of the Corporation appointed by (x) the Board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or (y) an officer to whom the Board has delegated the power to appoint officers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 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w:t>
      </w:r>
      <w:r>
        <w:rPr>
          <w:rFonts w:ascii="Times New Roman" w:cs="Times New Roman" w:eastAsia="Times New Roman" w:hAnsi="Times New Roman"/>
          <w:sz w:val="18"/>
          <w:szCs w:val="18"/>
          <w:u w:val="single" w:color="auto"/>
          <w:color w:val="auto"/>
        </w:rPr>
        <w:t>local part</w:t>
      </w:r>
      <w:r>
        <w:rPr>
          <w:rFonts w:ascii="Times New Roman" w:cs="Times New Roman" w:eastAsia="Times New Roman" w:hAnsi="Times New Roman"/>
          <w:sz w:val="18"/>
          <w:szCs w:val="18"/>
          <w:color w:val="auto"/>
        </w:rPr>
        <w: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Roman"/>
      <w:start w:val="9"/>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upperLetter"/>
      <w:start w:val="1"/>
    </w:lvl>
    <w:lvl w:ilvl="1">
      <w:lvlJc w:val="left"/>
      <w:lvlText w:val="%2."/>
      <w:numFmt w:val="decimal"/>
      <w:start w:val="3"/>
    </w:lvl>
  </w:abstractNum>
  <w:abstractNum w:abstractNumId="5">
    <w:nsid w:val="519B500D"/>
    <w:multiLevelType w:val="hybridMultilevel"/>
    <w:lvl w:ilvl="0">
      <w:lvlJc w:val="left"/>
      <w:lvlText w:val="%1."/>
      <w:numFmt w:val="upperLetter"/>
      <w:start w:val="2"/>
    </w:lvl>
    <w:lvl w:ilvl="1">
      <w:lvlJc w:val="left"/>
      <w:lvlText w:val="%2"/>
      <w:numFmt w:val="decimal"/>
      <w:start w:val="1"/>
    </w:lvl>
  </w:abstractNum>
  <w:abstractNum w:abstractNumId="6">
    <w:nsid w:val="431BD7B7"/>
    <w:multiLevelType w:val="hybridMultilevel"/>
    <w:lvl w:ilvl="0">
      <w:lvlJc w:val="left"/>
      <w:lvlText w:val="%1"/>
      <w:numFmt w:val="lowerLetter"/>
      <w:start w:val="1"/>
    </w:lvl>
    <w:lvl w:ilvl="1">
      <w:lvlJc w:val="left"/>
      <w:lvlText w:val="(%2)"/>
      <w:numFmt w:val="lowerLetter"/>
      <w:start w:val="1"/>
    </w:lvl>
  </w:abstractNum>
  <w:abstractNum w:abstractNumId="7">
    <w:nsid w:val="3F2DBA31"/>
    <w:multiLevelType w:val="hybridMultilevel"/>
    <w:lvl w:ilvl="0">
      <w:lvlJc w:val="left"/>
      <w:lvlText w:val="(%1)"/>
      <w:numFmt w:val="lowerLetter"/>
      <w:start w:val="35"/>
    </w:lvl>
    <w:lvl w:ilvl="1">
      <w:lvlJc w:val="left"/>
      <w:lvlText w:val="%2"/>
      <w:numFmt w:val="lowerLetter"/>
      <w:start w:val="1"/>
    </w:lvl>
  </w:abstractNum>
  <w:abstractNum w:abstractNumId="8">
    <w:nsid w:val="7C83E458"/>
    <w:multiLevelType w:val="hybridMultilevel"/>
    <w:lvl w:ilvl="0">
      <w:lvlJc w:val="left"/>
      <w:lvlText w:val="(%1)"/>
      <w:numFmt w:val="lowerLetter"/>
      <w:start w:val="2"/>
    </w:lvl>
  </w:abstractNum>
  <w:abstractNum w:abstractNumId="9">
    <w:nsid w:val="257130A3"/>
    <w:multiLevelType w:val="hybridMultilevel"/>
    <w:lvl w:ilvl="0">
      <w:lvlJc w:val="left"/>
      <w:lvlText w:val="%1"/>
      <w:numFmt w:val="upperLetter"/>
      <w:start w:val="1"/>
    </w:lvl>
    <w:lvl w:ilvl="1">
      <w:lvlJc w:val="left"/>
      <w:lvlText w:val="(%2)"/>
      <w:numFmt w:val="lowerRoman"/>
      <w:start w:val="1"/>
    </w:lvl>
  </w:abstractNum>
  <w:abstractNum w:abstractNumId="10">
    <w:nsid w:val="62BBD95A"/>
    <w:multiLevelType w:val="hybridMultilevel"/>
    <w:lvl w:ilvl="0">
      <w:lvlJc w:val="left"/>
      <w:lvlText w:val="(%1)"/>
      <w:numFmt w:val="upperLetter"/>
      <w:start w:val="4"/>
    </w:lvl>
    <w:lvl w:ilvl="1">
      <w:lvlJc w:val="left"/>
      <w:lvlText w:val="(%2)"/>
      <w:numFmt w:val="lowerRoman"/>
      <w:start w:val="2"/>
    </w:lvl>
  </w:abstractNum>
  <w:abstractNum w:abstractNumId="11">
    <w:nsid w:val="436C6125"/>
    <w:multiLevelType w:val="hybridMultilevel"/>
    <w:lvl w:ilvl="0">
      <w:lvlJc w:val="left"/>
      <w:lvlText w:val="(%1)"/>
      <w:numFmt w:val="lowerRoman"/>
      <w:start w:val="3"/>
    </w:lvl>
  </w:abstractNum>
  <w:abstractNum w:abstractNumId="12">
    <w:nsid w:val="628C895D"/>
    <w:multiLevelType w:val="hybridMultilevel"/>
    <w:lvl w:ilvl="0">
      <w:lvlJc w:val="left"/>
      <w:lvlText w:val="(%1)"/>
      <w:numFmt w:val="lowerLetter"/>
      <w:start w:val="4"/>
    </w:lvl>
  </w:abstractNum>
  <w:abstractNum w:abstractNumId="13">
    <w:nsid w:val="333AB105"/>
    <w:multiLevelType w:val="hybridMultilevel"/>
    <w:lvl w:ilvl="0">
      <w:lvlJc w:val="left"/>
      <w:lvlText w:val="(%1)"/>
      <w:numFmt w:val="lowerLetter"/>
      <w:start w:val="8"/>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Roman"/>
      <w:start w:val="2"/>
    </w:lvl>
  </w:abstractNum>
  <w:abstractNum w:abstractNumId="16">
    <w:nsid w:val="2D1D5AE9"/>
    <w:multiLevelType w:val="hybridMultilevel"/>
    <w:lvl w:ilvl="0">
      <w:lvlJc w:val="left"/>
      <w:lvlText w:val="(%1)"/>
      <w:numFmt w:val="lowerRoman"/>
      <w:start w:val="1"/>
    </w:lvl>
  </w:abstractNum>
  <w:abstractNum w:abstractNumId="17">
    <w:nsid w:val="6763845E"/>
    <w:multiLevelType w:val="hybridMultilevel"/>
    <w:lvl w:ilvl="0">
      <w:lvlJc w:val="left"/>
      <w:lvlText w:val="(%1)"/>
      <w:numFmt w:val="lowerLetter"/>
      <w:start w:val="4"/>
    </w:lvl>
  </w:abstractNum>
  <w:abstractNum w:abstractNumId="18">
    <w:nsid w:val="75A2A8D4"/>
    <w:multiLevelType w:val="hybridMultilevel"/>
    <w:lvl w:ilvl="0">
      <w:lvlJc w:val="left"/>
      <w:lvlText w:val="(%1)"/>
      <w:numFmt w:val="lowerLetter"/>
      <w:start w:val="6"/>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3"/>
    </w:lvl>
  </w:abstractNum>
  <w:abstractNum w:abstractNumId="21">
    <w:nsid w:val="4353D0CD"/>
    <w:multiLevelType w:val="hybridMultilevel"/>
    <w:lvl w:ilvl="0">
      <w:lvlJc w:val="left"/>
      <w:lvlText w:val="(%1)"/>
      <w:numFmt w:val="lowerRoman"/>
      <w:start w:val="4"/>
    </w:lvl>
  </w:abstractNum>
  <w:abstractNum w:abstractNumId="22">
    <w:nsid w:val="B03E0C6"/>
    <w:multiLevelType w:val="hybridMultilevel"/>
    <w:lvl w:ilvl="0">
      <w:lvlJc w:val="left"/>
      <w:lvlText w:val="(%1)"/>
      <w:numFmt w:val="lowerRoman"/>
      <w:start w:val="1"/>
    </w:lvl>
  </w:abstractNum>
  <w:abstractNum w:abstractNumId="23">
    <w:nsid w:val="189A769B"/>
    <w:multiLevelType w:val="hybridMultilevel"/>
    <w:lvl w:ilvl="0">
      <w:lvlJc w:val="left"/>
      <w:lvlText w:val="(%1)"/>
      <w:numFmt w:val="lowerRoman"/>
      <w:start w:val="1"/>
    </w:lvl>
  </w:abstractNum>
  <w:abstractNum w:abstractNumId="24">
    <w:nsid w:val="54E49EB4"/>
    <w:multiLevelType w:val="hybridMultilevel"/>
    <w:lvl w:ilvl="0">
      <w:lvlJc w:val="left"/>
      <w:lvlText w:val="(%1)"/>
      <w:numFmt w:val="lowerRoman"/>
      <w:start w:val="1"/>
    </w:lvl>
  </w:abstractNum>
  <w:abstractNum w:abstractNumId="25">
    <w:nsid w:val="71F32454"/>
    <w:multiLevelType w:val="hybridMultilevel"/>
    <w:lvl w:ilvl="0">
      <w:lvlJc w:val="left"/>
      <w:lvlText w:val="(%1)"/>
      <w:numFmt w:val="lowerRoman"/>
      <w:start w:val="1"/>
    </w:lvl>
  </w:abstractNum>
  <w:abstractNum w:abstractNumId="26">
    <w:nsid w:val="2CA88611"/>
    <w:multiLevelType w:val="hybridMultilevel"/>
    <w:lvl w:ilvl="0">
      <w:lvlJc w:val="left"/>
      <w:lvlText w:val="(%1)"/>
      <w:numFmt w:val="lowerLetter"/>
      <w:start w:val="2"/>
    </w:lvl>
    <w:lvl w:ilvl="1">
      <w:lvlJc w:val="left"/>
      <w:lvlText w:val="(%2)"/>
      <w:numFmt w:val="lowerRoman"/>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2026-04-20T15:40:22Z</dcterms:created>
  <dcterms:modified xsi:type="dcterms:W3CDTF">2026-04-20T15:40:22Z</dcterms:modified>
</cp:coreProperties>
</file>